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YT-SZ2026010</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电子天平采购项目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三</w:t>
      </w:r>
      <w:r>
        <w:rPr>
          <w:rFonts w:hint="eastAsia"/>
          <w:b/>
          <w:bCs/>
          <w:color w:val="auto"/>
          <w:sz w:val="44"/>
          <w:szCs w:val="44"/>
          <w:highlight w:val="none"/>
        </w:rPr>
        <w:t>月</w:t>
      </w:r>
    </w:p>
    <w:p w14:paraId="2B57B35E">
      <w:pPr>
        <w:pStyle w:val="66"/>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电子天平采购项目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YT-SZ2026010</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电子天平采购项目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电子天平采购项目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YT-SZ2026010</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w:t>
      </w:r>
      <w:r>
        <w:rPr>
          <w:rFonts w:hint="eastAsia" w:cs="宋体"/>
          <w:b w:val="0"/>
          <w:bCs w:val="0"/>
          <w:color w:val="auto"/>
          <w:highlight w:val="none"/>
          <w:lang w:val="en-US" w:eastAsia="zh-CN"/>
        </w:rPr>
        <w:t>6.7</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08CD37B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eastAsia="zh-CN"/>
        </w:rPr>
      </w:pPr>
      <w:r>
        <w:rPr>
          <w:rFonts w:hint="eastAsia" w:cs="宋体"/>
          <w:b w:val="0"/>
          <w:bCs w:val="0"/>
          <w:color w:val="auto"/>
          <w:highlight w:val="none"/>
          <w:lang w:eastAsia="zh-CN"/>
        </w:rPr>
        <w:t>本项目为常州检验检测标准认证研究院电子天平采购项目。具体内容包括：运输、交货、技术资料、人员培训、验收、结算、售后服务等全部工作。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00"/>
        <w:gridCol w:w="720"/>
        <w:gridCol w:w="5388"/>
      </w:tblGrid>
      <w:tr w14:paraId="07FF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37ACF23">
            <w:pPr>
              <w:adjustRightInd w:val="0"/>
              <w:snapToGrid w:val="0"/>
              <w:jc w:val="center"/>
              <w:rPr>
                <w:rFonts w:ascii="Times New Roman" w:hAnsi="Times New Roman" w:cs="Times New Roman"/>
                <w:color w:val="auto"/>
              </w:rPr>
            </w:pPr>
            <w:r>
              <w:rPr>
                <w:rFonts w:ascii="Times New Roman" w:hAnsi="Times New Roman" w:cs="Times New Roman"/>
                <w:color w:val="auto"/>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BFB787E">
            <w:pPr>
              <w:adjustRightInd w:val="0"/>
              <w:snapToGrid w:val="0"/>
              <w:jc w:val="center"/>
              <w:rPr>
                <w:rFonts w:ascii="Times New Roman" w:hAnsi="Times New Roman" w:cs="Times New Roman"/>
                <w:color w:val="auto"/>
              </w:rPr>
            </w:pPr>
            <w:r>
              <w:rPr>
                <w:rFonts w:ascii="Times New Roman" w:hAnsi="Times New Roman" w:cs="Times New Roman"/>
                <w:color w:val="auto"/>
              </w:rPr>
              <w:t>仪器设备名称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4FC17D">
            <w:pPr>
              <w:adjustRightInd w:val="0"/>
              <w:snapToGrid w:val="0"/>
              <w:jc w:val="center"/>
              <w:rPr>
                <w:rFonts w:ascii="Times New Roman" w:hAnsi="Times New Roman" w:cs="Times New Roman"/>
                <w:color w:val="auto"/>
              </w:rPr>
            </w:pPr>
            <w:r>
              <w:rPr>
                <w:rFonts w:ascii="Times New Roman" w:hAnsi="Times New Roman" w:cs="Times New Roman"/>
                <w:color w:val="auto"/>
              </w:rPr>
              <w:t>数量</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3506ECEB">
            <w:pPr>
              <w:adjustRightInd w:val="0"/>
              <w:snapToGrid w:val="0"/>
              <w:jc w:val="center"/>
              <w:rPr>
                <w:rFonts w:ascii="Times New Roman" w:hAnsi="Times New Roman" w:cs="Times New Roman"/>
                <w:color w:val="auto"/>
              </w:rPr>
            </w:pPr>
            <w:r>
              <w:rPr>
                <w:rFonts w:ascii="Times New Roman" w:hAnsi="Times New Roman" w:cs="Times New Roman"/>
                <w:color w:val="auto"/>
              </w:rPr>
              <w:t>备注</w:t>
            </w:r>
          </w:p>
        </w:tc>
      </w:tr>
      <w:tr w14:paraId="28E0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44E5D7F">
            <w:pPr>
              <w:adjustRightInd w:val="0"/>
              <w:snapToGrid w:val="0"/>
              <w:jc w:val="center"/>
              <w:rPr>
                <w:rFonts w:ascii="Times New Roman" w:hAnsi="Times New Roman" w:cs="Times New Roman"/>
                <w:color w:val="auto"/>
              </w:rPr>
            </w:pPr>
            <w:r>
              <w:rPr>
                <w:rFonts w:ascii="Times New Roman" w:hAnsi="Times New Roman" w:cs="Times New Roman"/>
                <w:color w:val="auto"/>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E29F862">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电子天平</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564CE0">
            <w:pPr>
              <w:adjustRightInd w:val="0"/>
              <w:snapToGrid w:val="0"/>
              <w:jc w:val="center"/>
              <w:rPr>
                <w:rFonts w:hint="eastAsia"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台</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3D5241B3">
            <w:pPr>
              <w:adjustRightInd w:val="0"/>
              <w:snapToGrid w:val="0"/>
              <w:rPr>
                <w:rFonts w:ascii="Times New Roman" w:hAnsi="Times New Roman" w:eastAsia="仿宋" w:cs="Times New Roman"/>
                <w:color w:val="auto"/>
              </w:rPr>
            </w:pPr>
            <w:r>
              <w:rPr>
                <w:rFonts w:hint="eastAsia"/>
                <w:color w:val="auto"/>
              </w:rPr>
              <w:t>主要用于</w:t>
            </w:r>
            <w:r>
              <w:rPr>
                <w:rFonts w:hint="eastAsia"/>
                <w:color w:val="auto"/>
                <w:lang w:val="en-US" w:eastAsia="zh-CN"/>
              </w:rPr>
              <w:t>食品及食品相关检验检测</w:t>
            </w:r>
            <w:r>
              <w:rPr>
                <w:rFonts w:hint="eastAsia"/>
                <w:color w:val="auto"/>
              </w:rPr>
              <w:t>。</w:t>
            </w:r>
          </w:p>
        </w:tc>
      </w:tr>
    </w:tbl>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p w14:paraId="6A09BB2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 操作环境</w:t>
      </w:r>
    </w:p>
    <w:p w14:paraId="679A666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温度：15℃~30℃</w:t>
      </w:r>
    </w:p>
    <w:p w14:paraId="596854E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湿度：≤75% RH</w:t>
      </w:r>
    </w:p>
    <w:p w14:paraId="48C6398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 配置和技术要求</w:t>
      </w:r>
    </w:p>
    <w:p w14:paraId="6A4BF94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2.1 技术参数</w:t>
      </w:r>
    </w:p>
    <w:p w14:paraId="103282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2.1.1量程范围：需覆盖60g~120g</w:t>
      </w:r>
    </w:p>
    <w:p w14:paraId="4F6E432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2.1.2读数精度：0.01mg/0.1mg</w:t>
      </w:r>
    </w:p>
    <w:p w14:paraId="3D95680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2.1.3精度0.01mg时重复性（典型值，5%载荷下）：≤0.013mg</w:t>
      </w:r>
    </w:p>
    <w:p w14:paraId="7B864E2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2.1.4线性偏差（典型值下）：≤0.1mg </w:t>
      </w:r>
    </w:p>
    <w:p w14:paraId="15FEC89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2.1.5稳定时间（典型值下）：≤2s</w:t>
      </w:r>
    </w:p>
    <w:p w14:paraId="48225B4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2.1.6最小称量值：≤10mg</w:t>
      </w:r>
    </w:p>
    <w:p w14:paraId="5306104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注：供应商所提供的电子天平应符合JJG 1036-2022《电子天平检定规程》的技术要求。</w:t>
      </w:r>
    </w:p>
    <w:p w14:paraId="717045D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 配置要求</w:t>
      </w:r>
    </w:p>
    <w:p w14:paraId="08B0EE3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2.2.1内置自动校正功能和水平调节助手</w:t>
      </w:r>
    </w:p>
    <w:p w14:paraId="7964063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2.2.2</w:t>
      </w:r>
      <w:r>
        <w:rPr>
          <w:rFonts w:hint="eastAsia" w:ascii="宋体" w:hAnsi="宋体" w:eastAsia="宋体" w:cs="宋体"/>
          <w:b w:val="0"/>
          <w:bCs w:val="0"/>
          <w:color w:val="auto"/>
          <w:highlight w:val="none"/>
          <w:lang w:eastAsia="zh-CN"/>
        </w:rPr>
        <w:t>高清液晶LCD</w:t>
      </w:r>
      <w:r>
        <w:rPr>
          <w:rFonts w:hint="eastAsia" w:ascii="宋体" w:hAnsi="宋体" w:eastAsia="宋体" w:cs="宋体"/>
          <w:b w:val="0"/>
          <w:bCs w:val="0"/>
          <w:color w:val="auto"/>
          <w:highlight w:val="none"/>
          <w:lang w:val="en-US" w:eastAsia="zh-CN"/>
        </w:rPr>
        <w:t>触摸</w:t>
      </w:r>
      <w:r>
        <w:rPr>
          <w:rFonts w:hint="eastAsia" w:ascii="宋体" w:hAnsi="宋体" w:eastAsia="宋体" w:cs="宋体"/>
          <w:b w:val="0"/>
          <w:bCs w:val="0"/>
          <w:color w:val="auto"/>
          <w:highlight w:val="none"/>
          <w:lang w:eastAsia="zh-CN"/>
        </w:rPr>
        <w:t>屏</w:t>
      </w:r>
    </w:p>
    <w:p w14:paraId="1C4A78B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2.2.3至少8种应用程序</w:t>
      </w:r>
    </w:p>
    <w:p w14:paraId="7987F2C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2.2.4支持统计数据分析，可选配天平数据管理软件</w:t>
      </w:r>
    </w:p>
    <w:p w14:paraId="7B5A657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2.2.5</w:t>
      </w:r>
      <w:r>
        <w:rPr>
          <w:rFonts w:hint="eastAsia" w:ascii="宋体" w:hAnsi="宋体" w:eastAsia="宋体" w:cs="宋体"/>
          <w:b w:val="0"/>
          <w:bCs w:val="0"/>
          <w:color w:val="auto"/>
          <w:highlight w:val="none"/>
          <w:lang w:eastAsia="zh-CN"/>
        </w:rPr>
        <w:t>防静电玻璃防风罩，左右和顶部玻璃均可移动，</w:t>
      </w:r>
      <w:r>
        <w:rPr>
          <w:rFonts w:hint="eastAsia" w:ascii="宋体" w:hAnsi="宋体" w:eastAsia="宋体" w:cs="宋体"/>
          <w:b w:val="0"/>
          <w:bCs w:val="0"/>
          <w:color w:val="auto"/>
          <w:highlight w:val="none"/>
          <w:lang w:val="en-US" w:eastAsia="zh-CN"/>
        </w:rPr>
        <w:t>四面</w:t>
      </w:r>
      <w:r>
        <w:rPr>
          <w:rFonts w:hint="eastAsia" w:ascii="宋体" w:hAnsi="宋体" w:eastAsia="宋体" w:cs="宋体"/>
          <w:b w:val="0"/>
          <w:bCs w:val="0"/>
          <w:color w:val="auto"/>
          <w:highlight w:val="none"/>
          <w:lang w:eastAsia="zh-CN"/>
        </w:rPr>
        <w:t>可拆卸，</w:t>
      </w:r>
      <w:r>
        <w:rPr>
          <w:rFonts w:hint="eastAsia" w:ascii="宋体" w:hAnsi="宋体" w:eastAsia="宋体" w:cs="宋体"/>
          <w:b w:val="0"/>
          <w:bCs w:val="0"/>
          <w:color w:val="auto"/>
          <w:highlight w:val="none"/>
          <w:lang w:val="en-US" w:eastAsia="zh-CN"/>
        </w:rPr>
        <w:t>易清洁</w:t>
      </w:r>
    </w:p>
    <w:p w14:paraId="6E886A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2.2.6配置USB-A、USB-C、以太网3个接口，可选配蓝牙配件</w:t>
      </w:r>
    </w:p>
    <w:p w14:paraId="4732158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2.2.7过载保护</w:t>
      </w:r>
    </w:p>
    <w:p w14:paraId="0327F00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2.2.8全金属外壳</w:t>
      </w:r>
    </w:p>
    <w:p w14:paraId="03A9ADF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 配套设备（优于以下要求）</w:t>
      </w:r>
    </w:p>
    <w:p w14:paraId="10038D0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3.1主机一台</w:t>
      </w:r>
    </w:p>
    <w:p w14:paraId="22C2EB1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3.2配套电源线</w:t>
      </w:r>
    </w:p>
    <w:p w14:paraId="749430C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3.3说明书及合格证一套</w:t>
      </w:r>
    </w:p>
    <w:p w14:paraId="0351F97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3.4电子天平专用减震台一张（应具有三级减震效果，全金属材质，实心桌面，至少60mm厚度花岗岩减震区，有电源插座）</w:t>
      </w:r>
    </w:p>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67087F2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1 在合同签订生效后（</w:t>
      </w:r>
      <w:r>
        <w:rPr>
          <w:rFonts w:hint="eastAsia" w:ascii="宋体" w:hAnsi="宋体" w:eastAsia="宋体" w:cs="宋体"/>
          <w:u w:val="single"/>
        </w:rPr>
        <w:t>30日内）</w:t>
      </w:r>
      <w:r>
        <w:rPr>
          <w:rFonts w:hint="eastAsia" w:ascii="宋体" w:hAnsi="宋体" w:eastAsia="宋体" w:cs="宋体"/>
        </w:rPr>
        <w:t>将仪器设备运至采购单位，安装调试并经采购人验收合格后方可认为交货完成。成交仪器设备到达安装现场后，成交供应商应提供详细发货清单，由采购人打开包装验货、检查货物数量。验收中发现设备无法正常运行或设备硬件、软件问题由厂家免费更换和维修。设备经三次验收未通过（三个月以内），采购人有权要求退货，解除合同，给采购人造成损失的，应赔偿相应损失（合同金额的10%）。无正当理由延期交付的，成交供应商将承担相应赔偿。</w:t>
      </w:r>
    </w:p>
    <w:p w14:paraId="6AA5087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2 应能保证所提供设备涉及到的知识产权和所提供的软件、技术资料是合法取得，并享有完整的知识产权，不会因为采购人的使用而被责令停止使用、追偿或要求赔偿损失，如出现此情况，一切经济和法律责任均由成交供应商承担。成交供应商提供的所有硬件设备必须为合格产品，质量符合国际或国家通用标准，如硬件出现质量问题或系假冒伪劣产品，成交供应商负责包退、包换，发生的费用由成交供应商负责。</w:t>
      </w:r>
    </w:p>
    <w:p w14:paraId="3204E00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3 所有设备和附配件名称均应符合其规定的性能、无瑕疵和缺陷，必须有质量检验合格证、装箱单、产品安装使用说明书等相关资料，在交货时必须原包装现场拆封验收。成交供应商对质量问题负责包退、包换、包修，因此发生的费用由成交供应商负责。</w:t>
      </w:r>
    </w:p>
    <w:p w14:paraId="6C039ED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 xml:space="preserve"> 设备安装调试完毕后，</w:t>
      </w:r>
      <w:r>
        <w:rPr>
          <w:rFonts w:hint="eastAsia" w:ascii="宋体" w:hAnsi="宋体" w:eastAsia="宋体" w:cs="宋体"/>
          <w:lang w:eastAsia="zh-CN"/>
        </w:rPr>
        <w:t>采购方</w:t>
      </w:r>
      <w:r>
        <w:rPr>
          <w:rFonts w:hint="eastAsia" w:ascii="宋体" w:hAnsi="宋体" w:eastAsia="宋体" w:cs="宋体"/>
          <w:lang w:val="en-US" w:eastAsia="zh-CN"/>
        </w:rPr>
        <w:t>获得</w:t>
      </w:r>
      <w:r>
        <w:rPr>
          <w:rFonts w:hint="eastAsia" w:ascii="宋体" w:hAnsi="宋体" w:eastAsia="宋体" w:cs="宋体"/>
        </w:rPr>
        <w:t>计量机构出具的检定/校准证书，符合技术要求则验收通过。</w:t>
      </w:r>
    </w:p>
    <w:p w14:paraId="02A4CE7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rPr>
      </w:pPr>
      <w:r>
        <w:rPr>
          <w:rFonts w:hint="eastAsia" w:ascii="宋体" w:hAnsi="宋体" w:eastAsia="宋体" w:cs="宋体"/>
          <w:b/>
        </w:rPr>
        <w:t>六、质量保证及售后服务要求</w:t>
      </w:r>
    </w:p>
    <w:p w14:paraId="0945CB7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rPr>
      </w:pPr>
      <w:r>
        <w:rPr>
          <w:rFonts w:hint="eastAsia" w:ascii="宋体" w:hAnsi="宋体" w:eastAsia="宋体" w:cs="宋体"/>
          <w:lang w:eastAsia="zh-CN"/>
        </w:rPr>
        <w:t>供应商</w:t>
      </w:r>
      <w:r>
        <w:rPr>
          <w:rFonts w:hint="eastAsia" w:ascii="宋体" w:hAnsi="宋体" w:eastAsia="宋体" w:cs="宋体"/>
        </w:rPr>
        <w:t>需提供厂家或售后服务机构、国内代理商关于本项所要求的质量保证及售后服务书面证明材料。</w:t>
      </w:r>
    </w:p>
    <w:p w14:paraId="646FFC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1 质保期：</w:t>
      </w:r>
    </w:p>
    <w:p w14:paraId="37F9214E">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rPr>
      </w:pPr>
      <w:r>
        <w:rPr>
          <w:rFonts w:hint="eastAsia" w:ascii="宋体" w:hAnsi="宋体" w:eastAsia="宋体" w:cs="宋体"/>
          <w:b/>
          <w:bCs/>
        </w:rPr>
        <w:t>质保期1年（自设备验收合格之日起计算）。</w:t>
      </w:r>
      <w:r>
        <w:rPr>
          <w:rFonts w:hint="eastAsia" w:ascii="宋体" w:hAnsi="宋体" w:eastAsia="宋体" w:cs="宋体"/>
        </w:rPr>
        <w:t>在质保期内，对于非人为损坏的所有器件包括进口器件，均免费更换，对于非人为因素出现的任何仪器故障均免费维修。</w:t>
      </w:r>
    </w:p>
    <w:p w14:paraId="10D235D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2 售后服务承诺</w:t>
      </w:r>
    </w:p>
    <w:p w14:paraId="3096C93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（1）负责免费安装和调试，对产品承担1年保修期，终身维护；</w:t>
      </w:r>
    </w:p>
    <w:p w14:paraId="609DA96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（2）对用户进行登记造册存档，以备提供相应用户服务；</w:t>
      </w:r>
    </w:p>
    <w:p w14:paraId="770D94B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（3）对于用户的报修，厂家2小时内电话回复，如电话不能解决问题，厂家承诺在24个小时内到达现场，予以解决；</w:t>
      </w:r>
    </w:p>
    <w:p w14:paraId="3AA2508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（4）例行维护保养</w:t>
      </w:r>
    </w:p>
    <w:p w14:paraId="732C4C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如仪器设备需要进行例行维护保养， 成交供应商需提供仪器设备的例行维护保养服务，包括但不限于：定期上门巡检，检查设备运行状态，进行必要的清洁、润滑、调试校准等维护工作。对于仪器操作人员可以自行进行的维保项目， 成交供应商应提供设备操作培训，确保使用人员能够正确操作和维护设备。免费保修保养期过后， 成交供应商应写明维保收费标准及后续承诺优惠折扣率[例如：按次收费/按年收费/按工时收费等]，并提供详细的维护保养内容收费标准清单（含耗材和人工费用）。</w:t>
      </w:r>
    </w:p>
    <w:p w14:paraId="5B97556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易损件供应</w:t>
      </w:r>
    </w:p>
    <w:p w14:paraId="36429D6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如仪器设备含有平均使用寿命不超过三年的密封、易损耗部件，成交供应商需承诺长期向使用单位提供仪器设备的易损件，并保证供应的及时性和稳定性。 针对易损件供应，</w:t>
      </w:r>
      <w:r>
        <w:rPr>
          <w:rFonts w:hint="eastAsia" w:ascii="宋体" w:hAnsi="宋体" w:eastAsia="宋体" w:cs="宋体"/>
          <w:lang w:eastAsia="zh-CN"/>
        </w:rPr>
        <w:t>供应商</w:t>
      </w:r>
      <w:r>
        <w:rPr>
          <w:rFonts w:hint="eastAsia" w:ascii="宋体" w:hAnsi="宋体" w:eastAsia="宋体" w:cs="宋体"/>
        </w:rPr>
        <w:t>需制定优惠方案，并提供详细的易损件清单价格（含各易损件平均使用时间）及后续承诺优惠折扣率。成交供应商需保证提供的易损件均为原厂正品，并提供相应的质量保证文件。</w:t>
      </w:r>
    </w:p>
    <w:p w14:paraId="29079A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维修件供应及维修服务</w:t>
      </w:r>
    </w:p>
    <w:p w14:paraId="178D270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在产品设计使用寿命期内，成交供应商应能保证</w:t>
      </w:r>
      <w:r>
        <w:rPr>
          <w:rFonts w:hint="eastAsia" w:ascii="宋体" w:hAnsi="宋体" w:eastAsia="宋体" w:cs="宋体"/>
          <w:lang w:eastAsia="zh-CN"/>
        </w:rPr>
        <w:t>采购方</w:t>
      </w:r>
      <w:r>
        <w:rPr>
          <w:rFonts w:hint="eastAsia" w:ascii="宋体" w:hAnsi="宋体" w:eastAsia="宋体" w:cs="宋体"/>
        </w:rPr>
        <w:t>更换到原厂正品的维修件，确保产品的正常使用。成交供应商需提供仪器设备的维修服务，包括但不限于提供故障报修服务，并在接到报修通知后2小时内响应，24小时内到达现场进行维修。</w:t>
      </w:r>
    </w:p>
    <w:p w14:paraId="64D5726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收费标准: 成交供应商提供详细的收费标准清单、主要维修备件价格清单及维修优惠折扣率。免费保修保养期过后，</w:t>
      </w:r>
      <w:r>
        <w:rPr>
          <w:rFonts w:hint="eastAsia" w:ascii="宋体" w:hAnsi="宋体" w:eastAsia="宋体" w:cs="宋体"/>
          <w:lang w:eastAsia="zh-CN"/>
        </w:rPr>
        <w:t>供应商</w:t>
      </w:r>
      <w:r>
        <w:rPr>
          <w:rFonts w:hint="eastAsia" w:ascii="宋体" w:hAnsi="宋体" w:eastAsia="宋体" w:cs="宋体"/>
        </w:rPr>
        <w:t>应按照 [承诺的维修优惠折扣率，例如：按次收费/按年收费/按工时收费等] 收取维修费用，并配备专业的维修工程师，确保及时响应维修需求。</w:t>
      </w:r>
    </w:p>
    <w:p w14:paraId="5769B37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（7）使用成本</w:t>
      </w:r>
    </w:p>
    <w:p w14:paraId="7915378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需对所提供的仪器设备在使用过程中产生的水、电、气等能源消耗以及相关试剂、试块、耗材的使用成本进行详细说明，并提供相应的每小时运行成本测算[或按试验次数/按被测样品参数等]。具体内容包括但不限于：</w:t>
      </w:r>
    </w:p>
    <w:p w14:paraId="04C4FFA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能源消耗说明：成交供应商应提供仪器设备在正常运行状态下的水、电、气等能源消耗数据。</w:t>
      </w:r>
    </w:p>
    <w:p w14:paraId="644668C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试剂、试块、耗材使用成本：成交供应商需列出仪器设备在使用过程中所需的试剂、试块、耗材的详细清单，并提供市场价格参考。同时，成交供应商应提出降低试剂、试块、耗材使用成本的方案，例如通过优化实验流程、提供高性价比的替代品或提供批量采购优惠等。</w:t>
      </w:r>
    </w:p>
    <w:p w14:paraId="7344403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成本透明度：成交供应商需提供详细的成本计算方法和依据，确保使用单位能够清晰了解仪器设备在使用过程中的各项成本支出。</w:t>
      </w:r>
    </w:p>
    <w:p w14:paraId="2D01BAE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优惠方案：对于试剂、试块、耗材的长期供应，成交供应商应制定优惠方案，并提供详细的清单及价格表（含批量采购折扣等），确保使用单位能够以合理的价格获得所需供应品。</w:t>
      </w:r>
    </w:p>
    <w:p w14:paraId="65B58A7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通过以上要求，确保成交供应商提供的仪器设备不仅在购买和维护成本上具有竞争力，同时在使用过程中的长期成本也能得到有效控制。</w:t>
      </w:r>
    </w:p>
    <w:p w14:paraId="658A78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3 技术服务承诺、技术培训承诺</w:t>
      </w:r>
    </w:p>
    <w:p w14:paraId="13CCB1E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（1）技术服务承诺：</w:t>
      </w:r>
    </w:p>
    <w:p w14:paraId="5FBE811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应具有相关人员和能力，保证采购人可随时咨询有关标准、分析原理等技术问题，帮助采购方解决仪器使用中的技术问题，为采购人解决实际样品分析中的难题。</w:t>
      </w:r>
    </w:p>
    <w:p w14:paraId="1CE6F56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成交供应商应不断对仪器进行硬件和软件更新升级，免费为采购人提供软件更新升级服务。</w:t>
      </w:r>
    </w:p>
    <w:p w14:paraId="347E3AB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（2）技术培训承诺：</w:t>
      </w:r>
    </w:p>
    <w:p w14:paraId="4964D2D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线上培训：仪器到达现场后，保证培训3～4名以上熟练的操作人员，让使用者单独完成样品分析，并能进行简单的仪器维护。</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37C67E7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bookmarkStart w:id="2" w:name="_Hlk1720867"/>
      <w:bookmarkEnd w:id="2"/>
      <w:r>
        <w:rPr>
          <w:rFonts w:hint="eastAsia" w:ascii="宋体" w:hAnsi="宋体" w:eastAsia="宋体" w:cs="宋体"/>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372D049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ascii="宋体" w:hAnsi="宋体" w:eastAsia="宋体"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ascii="宋体" w:hAnsi="宋体" w:eastAsia="宋体"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六、评审及</w:t>
      </w:r>
      <w:r>
        <w:rPr>
          <w:rFonts w:hint="eastAsia" w:ascii="宋体" w:hAnsi="宋体" w:eastAsia="宋体" w:cs="宋体"/>
          <w:b/>
          <w:bCs/>
          <w:color w:val="auto"/>
          <w:highlight w:val="none"/>
        </w:rPr>
        <w:t>成交原则：</w:t>
      </w:r>
    </w:p>
    <w:p w14:paraId="730DD4E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1.若本项目有效响应的供应商数量不足三家，则本项目予以流标处理，本次采购活动依法终止。采购人将依法重新组织采购或采取其他采购方式。</w:t>
      </w:r>
    </w:p>
    <w:p w14:paraId="3D5CD290">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ascii="宋体" w:hAnsi="宋体" w:eastAsia="宋体"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ascii="宋体" w:hAnsi="宋体" w:eastAsia="宋体"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bookmarkStart w:id="3" w:name="OLE_LINK1"/>
      <w:bookmarkStart w:id="4" w:name="OLE_LINK2"/>
      <w:r>
        <w:rPr>
          <w:rFonts w:hint="eastAsia" w:ascii="宋体" w:hAnsi="宋体" w:eastAsia="宋体" w:cs="宋体"/>
          <w:color w:val="auto"/>
          <w:highlight w:val="none"/>
        </w:rPr>
        <w:t>代理机构联系人：</w:t>
      </w:r>
      <w:r>
        <w:rPr>
          <w:rFonts w:hint="eastAsia" w:ascii="宋体" w:hAnsi="宋体" w:eastAsia="宋体"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cs="宋体"/>
          <w:color w:val="auto"/>
          <w:highlight w:val="none"/>
          <w:lang w:val="en-US" w:eastAsia="zh-CN"/>
        </w:rPr>
      </w:pPr>
      <w:r>
        <w:rPr>
          <w:rFonts w:hint="eastAsia" w:ascii="宋体" w:hAnsi="宋体" w:eastAsia="宋体" w:cs="宋体"/>
          <w:color w:val="auto"/>
          <w:highlight w:val="none"/>
        </w:rPr>
        <w:t>联系电话：0519-86290019</w:t>
      </w: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 xml:space="preserve">           </w:t>
      </w:r>
    </w:p>
    <w:p w14:paraId="6E11214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cs="宋体"/>
          <w:color w:val="auto"/>
          <w:highlight w:val="none"/>
          <w:lang w:val="en-US" w:eastAsia="zh-CN"/>
        </w:rPr>
      </w:pPr>
    </w:p>
    <w:p w14:paraId="1F87483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cs="宋体"/>
          <w:color w:val="auto"/>
          <w:highlight w:val="none"/>
          <w:lang w:val="en-US" w:eastAsia="zh-CN"/>
        </w:rPr>
      </w:pP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w:t>
      </w:r>
      <w:r>
        <w:rPr>
          <w:rFonts w:hint="eastAsia"/>
          <w:color w:val="auto"/>
          <w:highlight w:val="none"/>
          <w:lang w:val="en-US" w:eastAsia="zh-CN"/>
        </w:rPr>
        <w:t>19</w:t>
      </w:r>
      <w:bookmarkStart w:id="16" w:name="_GoBack"/>
      <w:bookmarkEnd w:id="16"/>
      <w:r>
        <w:rPr>
          <w:color w:val="auto"/>
          <w:highlight w:val="none"/>
        </w:rPr>
        <w:t>日</w:t>
      </w:r>
      <w:bookmarkEnd w:id="3"/>
      <w:bookmarkEnd w:id="4"/>
    </w:p>
    <w:p w14:paraId="12F54626">
      <w:pPr>
        <w:rPr>
          <w:rFonts w:hint="eastAsia"/>
          <w:b/>
          <w:color w:val="auto"/>
          <w:sz w:val="72"/>
          <w:highlight w:val="none"/>
        </w:rPr>
      </w:pPr>
      <w:r>
        <w:rPr>
          <w:rFonts w:hint="eastAsia"/>
          <w:b/>
          <w:color w:val="auto"/>
          <w:sz w:val="72"/>
          <w:highlight w:val="none"/>
        </w:rPr>
        <w:br w:type="page"/>
      </w:r>
    </w:p>
    <w:p w14:paraId="4EB8793B">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6"/>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6"/>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3"/>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3"/>
        <w:spacing w:after="120" w:line="500" w:lineRule="exact"/>
        <w:jc w:val="center"/>
        <w:outlineLvl w:val="9"/>
        <w:rPr>
          <w:rFonts w:hAnsi="宋体" w:cs="宋体"/>
          <w:color w:val="auto"/>
          <w:sz w:val="24"/>
          <w:highlight w:val="none"/>
        </w:rPr>
      </w:pPr>
    </w:p>
    <w:p w14:paraId="6962C14B">
      <w:pPr>
        <w:pStyle w:val="23"/>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3"/>
        <w:spacing w:after="120" w:line="500" w:lineRule="exact"/>
        <w:jc w:val="center"/>
        <w:outlineLvl w:val="9"/>
        <w:rPr>
          <w:rFonts w:hAnsi="宋体" w:cs="宋体"/>
          <w:b/>
          <w:color w:val="auto"/>
          <w:sz w:val="36"/>
          <w:highlight w:val="none"/>
        </w:rPr>
      </w:pPr>
    </w:p>
    <w:p w14:paraId="330D5650">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9"/>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3"/>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3"/>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5" w:name="_Toc34311362"/>
      <w:bookmarkStart w:id="6" w:name="_Toc34296079"/>
      <w:r>
        <w:rPr>
          <w:b/>
          <w:color w:val="auto"/>
          <w:szCs w:val="28"/>
          <w:highlight w:val="none"/>
        </w:rPr>
        <w:br w:type="page"/>
      </w:r>
    </w:p>
    <w:p w14:paraId="338DF321">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5"/>
      <w:bookmarkEnd w:id="6"/>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7" w:name="_Toc34311363"/>
      <w:bookmarkStart w:id="8" w:name="_Toc34296080"/>
      <w:r>
        <w:rPr>
          <w:b/>
          <w:color w:val="auto"/>
          <w:szCs w:val="28"/>
          <w:highlight w:val="none"/>
        </w:rPr>
        <w:br w:type="page"/>
      </w:r>
    </w:p>
    <w:p w14:paraId="1ED78ABD">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7"/>
      <w:bookmarkEnd w:id="8"/>
    </w:p>
    <w:p w14:paraId="74E21A4D">
      <w:pPr>
        <w:pStyle w:val="10"/>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0"/>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0"/>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3"/>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9" w:name="_Toc34296081"/>
      <w:bookmarkStart w:id="10" w:name="_Toc34311364"/>
      <w:r>
        <w:rPr>
          <w:b/>
          <w:color w:val="auto"/>
          <w:szCs w:val="28"/>
          <w:highlight w:val="none"/>
        </w:rPr>
        <w:br w:type="page"/>
      </w:r>
    </w:p>
    <w:p w14:paraId="08240DAC">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9"/>
      <w:bookmarkEnd w:id="10"/>
    </w:p>
    <w:p w14:paraId="0206CB74">
      <w:pPr>
        <w:shd w:val="clear" w:color="auto" w:fill="FFFFFF"/>
        <w:spacing w:line="420" w:lineRule="exact"/>
        <w:ind w:left="723"/>
        <w:rPr>
          <w:b/>
          <w:color w:val="auto"/>
          <w:highlight w:val="none"/>
          <w:shd w:val="clear" w:color="auto" w:fill="FFFFFF"/>
          <w:lang w:bidi="ar"/>
        </w:rPr>
      </w:pPr>
    </w:p>
    <w:p w14:paraId="5B96ECB3">
      <w:pPr>
        <w:pStyle w:val="10"/>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0"/>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0"/>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0"/>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0"/>
        <w:spacing w:before="0" w:beforeAutospacing="0" w:after="0" w:afterAutospacing="0" w:line="420" w:lineRule="exact"/>
        <w:rPr>
          <w:color w:val="auto"/>
          <w:highlight w:val="none"/>
        </w:rPr>
      </w:pPr>
      <w:r>
        <w:rPr>
          <w:rFonts w:hint="eastAsia"/>
          <w:color w:val="auto"/>
          <w:highlight w:val="none"/>
        </w:rPr>
        <w:t> </w:t>
      </w:r>
    </w:p>
    <w:p w14:paraId="789C4F12">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0"/>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0"/>
        <w:spacing w:before="0" w:beforeAutospacing="0" w:after="0" w:afterAutospacing="0" w:line="420" w:lineRule="exact"/>
        <w:rPr>
          <w:color w:val="auto"/>
          <w:highlight w:val="none"/>
        </w:rPr>
      </w:pPr>
      <w:r>
        <w:rPr>
          <w:rFonts w:hint="eastAsia"/>
          <w:color w:val="auto"/>
          <w:highlight w:val="none"/>
        </w:rPr>
        <w:t> </w:t>
      </w:r>
    </w:p>
    <w:p w14:paraId="1416D009">
      <w:pPr>
        <w:pStyle w:val="10"/>
        <w:spacing w:before="0" w:beforeAutospacing="0" w:after="0" w:afterAutospacing="0" w:line="420" w:lineRule="exact"/>
        <w:rPr>
          <w:color w:val="auto"/>
          <w:highlight w:val="none"/>
        </w:rPr>
      </w:pPr>
      <w:r>
        <w:rPr>
          <w:rFonts w:hint="eastAsia"/>
          <w:color w:val="auto"/>
          <w:highlight w:val="none"/>
        </w:rPr>
        <w:t>授权方</w:t>
      </w:r>
    </w:p>
    <w:p w14:paraId="4043C435">
      <w:pPr>
        <w:pStyle w:val="10"/>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0"/>
        <w:spacing w:before="0" w:beforeAutospacing="0" w:after="0" w:afterAutospacing="0" w:line="420" w:lineRule="exact"/>
        <w:rPr>
          <w:color w:val="auto"/>
          <w:highlight w:val="none"/>
        </w:rPr>
      </w:pPr>
      <w:r>
        <w:rPr>
          <w:rFonts w:hint="eastAsia"/>
          <w:color w:val="auto"/>
          <w:highlight w:val="none"/>
        </w:rPr>
        <w:t> </w:t>
      </w:r>
    </w:p>
    <w:p w14:paraId="18F9DD42">
      <w:pPr>
        <w:pStyle w:val="10"/>
        <w:spacing w:before="0" w:beforeAutospacing="0" w:after="0" w:afterAutospacing="0" w:line="420" w:lineRule="exact"/>
        <w:rPr>
          <w:color w:val="auto"/>
          <w:highlight w:val="none"/>
        </w:rPr>
      </w:pPr>
      <w:r>
        <w:rPr>
          <w:rFonts w:hint="eastAsia"/>
          <w:color w:val="auto"/>
          <w:highlight w:val="none"/>
        </w:rPr>
        <w:t>接受授权方</w:t>
      </w:r>
    </w:p>
    <w:p w14:paraId="08C533E5">
      <w:pPr>
        <w:pStyle w:val="10"/>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0"/>
        <w:spacing w:before="0" w:beforeAutospacing="0" w:after="0" w:afterAutospacing="0" w:line="420" w:lineRule="exact"/>
        <w:rPr>
          <w:color w:val="auto"/>
          <w:highlight w:val="none"/>
        </w:rPr>
      </w:pPr>
      <w:r>
        <w:rPr>
          <w:rFonts w:hint="eastAsia"/>
          <w:color w:val="auto"/>
          <w:highlight w:val="none"/>
        </w:rPr>
        <w:t> </w:t>
      </w:r>
    </w:p>
    <w:p w14:paraId="7A4DE6AA">
      <w:pPr>
        <w:pStyle w:val="10"/>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0"/>
        <w:spacing w:before="0" w:beforeAutospacing="0" w:after="0" w:afterAutospacing="0" w:line="420" w:lineRule="exact"/>
        <w:rPr>
          <w:color w:val="auto"/>
          <w:highlight w:val="none"/>
        </w:rPr>
      </w:pPr>
      <w:r>
        <w:rPr>
          <w:rFonts w:hint="eastAsia"/>
          <w:color w:val="auto"/>
          <w:highlight w:val="none"/>
        </w:rPr>
        <w:t> </w:t>
      </w:r>
    </w:p>
    <w:p w14:paraId="4C9C4004">
      <w:pPr>
        <w:pStyle w:val="10"/>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0"/>
        <w:spacing w:before="0" w:beforeAutospacing="0" w:after="0" w:afterAutospacing="0" w:line="420" w:lineRule="exact"/>
        <w:rPr>
          <w:color w:val="auto"/>
          <w:highlight w:val="none"/>
        </w:rPr>
      </w:pP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0"/>
              <w:spacing w:before="0" w:beforeAutospacing="0" w:after="0" w:afterAutospacing="0" w:line="420" w:lineRule="exact"/>
              <w:jc w:val="center"/>
              <w:rPr>
                <w:color w:val="auto"/>
                <w:highlight w:val="none"/>
              </w:rPr>
            </w:pPr>
            <w:r>
              <w:rPr>
                <w:rStyle w:val="15"/>
                <w:rFonts w:hint="eastAsia"/>
                <w:color w:val="auto"/>
                <w:highlight w:val="none"/>
              </w:rPr>
              <w:t> </w:t>
            </w:r>
          </w:p>
          <w:p w14:paraId="6295BEF3">
            <w:pPr>
              <w:pStyle w:val="10"/>
              <w:spacing w:before="0" w:beforeAutospacing="0" w:after="0" w:afterAutospacing="0" w:line="420" w:lineRule="exact"/>
              <w:jc w:val="center"/>
              <w:rPr>
                <w:color w:val="auto"/>
                <w:highlight w:val="none"/>
              </w:rPr>
            </w:pPr>
            <w:r>
              <w:rPr>
                <w:rStyle w:val="15"/>
                <w:rFonts w:hint="eastAsia"/>
                <w:color w:val="auto"/>
                <w:highlight w:val="none"/>
              </w:rPr>
              <w:t>要求：真实有效且内容完整、清晰、整洁。</w:t>
            </w:r>
          </w:p>
          <w:p w14:paraId="7AC65F6C">
            <w:pPr>
              <w:pStyle w:val="10"/>
              <w:spacing w:before="0" w:beforeAutospacing="0" w:after="0" w:afterAutospacing="0" w:line="420" w:lineRule="exact"/>
              <w:jc w:val="center"/>
              <w:rPr>
                <w:color w:val="auto"/>
                <w:highlight w:val="none"/>
              </w:rPr>
            </w:pPr>
            <w:r>
              <w:rPr>
                <w:rStyle w:val="15"/>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1" w:name="_Toc34296082"/>
      <w:bookmarkStart w:id="12" w:name="_Toc34311365"/>
      <w:r>
        <w:rPr>
          <w:b/>
          <w:color w:val="auto"/>
          <w:szCs w:val="28"/>
          <w:highlight w:val="none"/>
        </w:rPr>
        <w:br w:type="page"/>
      </w:r>
    </w:p>
    <w:bookmarkEnd w:id="11"/>
    <w:bookmarkEnd w:id="12"/>
    <w:p w14:paraId="478D408B">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2"/>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8"/>
        <w:rPr>
          <w:bCs/>
          <w:color w:val="auto"/>
          <w:highlight w:val="none"/>
          <w:u w:val="single"/>
          <w:shd w:val="clear" w:color="auto" w:fill="FFFFFF"/>
          <w:lang w:bidi="ar"/>
        </w:rPr>
      </w:pPr>
    </w:p>
    <w:p w14:paraId="31F470A4">
      <w:pPr>
        <w:pStyle w:val="18"/>
        <w:rPr>
          <w:bCs/>
          <w:color w:val="auto"/>
          <w:highlight w:val="none"/>
          <w:u w:val="single"/>
          <w:shd w:val="clear" w:color="auto" w:fill="FFFFFF"/>
          <w:lang w:bidi="ar"/>
        </w:rPr>
      </w:pPr>
    </w:p>
    <w:p w14:paraId="534B8F1C">
      <w:pPr>
        <w:pStyle w:val="18"/>
        <w:rPr>
          <w:bCs/>
          <w:color w:val="auto"/>
          <w:highlight w:val="none"/>
          <w:u w:val="single"/>
          <w:shd w:val="clear" w:color="auto" w:fill="FFFFFF"/>
          <w:lang w:bidi="ar"/>
        </w:rPr>
      </w:pPr>
    </w:p>
    <w:p w14:paraId="51870CC8">
      <w:pPr>
        <w:pStyle w:val="18"/>
        <w:rPr>
          <w:bCs/>
          <w:color w:val="auto"/>
          <w:highlight w:val="none"/>
          <w:u w:val="single"/>
          <w:shd w:val="clear" w:color="auto" w:fill="FFFFFF"/>
          <w:lang w:bidi="ar"/>
        </w:rPr>
      </w:pPr>
    </w:p>
    <w:p w14:paraId="47EA54A9">
      <w:pPr>
        <w:pStyle w:val="18"/>
        <w:rPr>
          <w:bCs/>
          <w:color w:val="auto"/>
          <w:highlight w:val="none"/>
          <w:u w:val="single"/>
          <w:shd w:val="clear" w:color="auto" w:fill="FFFFFF"/>
          <w:lang w:bidi="ar"/>
        </w:rPr>
      </w:pPr>
    </w:p>
    <w:p w14:paraId="48A391AB">
      <w:pPr>
        <w:pStyle w:val="18"/>
        <w:rPr>
          <w:bCs/>
          <w:color w:val="auto"/>
          <w:highlight w:val="none"/>
          <w:u w:val="single"/>
          <w:shd w:val="clear" w:color="auto" w:fill="FFFFFF"/>
          <w:lang w:bidi="ar"/>
        </w:rPr>
      </w:pPr>
    </w:p>
    <w:p w14:paraId="296D850A">
      <w:pPr>
        <w:pStyle w:val="18"/>
        <w:rPr>
          <w:bCs/>
          <w:color w:val="auto"/>
          <w:highlight w:val="none"/>
          <w:u w:val="single"/>
          <w:shd w:val="clear" w:color="auto" w:fill="FFFFFF"/>
          <w:lang w:bidi="ar"/>
        </w:rPr>
      </w:pPr>
    </w:p>
    <w:p w14:paraId="5BC22020">
      <w:pPr>
        <w:pStyle w:val="18"/>
        <w:rPr>
          <w:bCs/>
          <w:color w:val="auto"/>
          <w:highlight w:val="none"/>
          <w:u w:val="single"/>
          <w:shd w:val="clear" w:color="auto" w:fill="FFFFFF"/>
          <w:lang w:bidi="ar"/>
        </w:rPr>
      </w:pPr>
    </w:p>
    <w:p w14:paraId="6DC7774C">
      <w:pPr>
        <w:pStyle w:val="18"/>
        <w:rPr>
          <w:bCs/>
          <w:color w:val="auto"/>
          <w:highlight w:val="none"/>
          <w:u w:val="single"/>
          <w:shd w:val="clear" w:color="auto" w:fill="FFFFFF"/>
          <w:lang w:bidi="ar"/>
        </w:rPr>
      </w:pPr>
    </w:p>
    <w:p w14:paraId="22F42B8B">
      <w:pPr>
        <w:pStyle w:val="18"/>
        <w:rPr>
          <w:bCs/>
          <w:color w:val="auto"/>
          <w:highlight w:val="none"/>
          <w:u w:val="single"/>
          <w:shd w:val="clear" w:color="auto" w:fill="FFFFFF"/>
          <w:lang w:bidi="ar"/>
        </w:rPr>
      </w:pPr>
    </w:p>
    <w:p w14:paraId="5153D0E3">
      <w:pPr>
        <w:pStyle w:val="18"/>
        <w:rPr>
          <w:bCs/>
          <w:color w:val="auto"/>
          <w:highlight w:val="none"/>
          <w:u w:val="single"/>
          <w:shd w:val="clear" w:color="auto" w:fill="FFFFFF"/>
          <w:lang w:bidi="ar"/>
        </w:rPr>
      </w:pPr>
    </w:p>
    <w:p w14:paraId="43324122">
      <w:pPr>
        <w:pStyle w:val="18"/>
        <w:rPr>
          <w:bCs/>
          <w:color w:val="auto"/>
          <w:highlight w:val="none"/>
          <w:u w:val="single"/>
          <w:shd w:val="clear" w:color="auto" w:fill="FFFFFF"/>
          <w:lang w:bidi="ar"/>
        </w:rPr>
      </w:pPr>
    </w:p>
    <w:p w14:paraId="32F2B15C">
      <w:pPr>
        <w:pStyle w:val="18"/>
        <w:rPr>
          <w:bCs/>
          <w:color w:val="auto"/>
          <w:highlight w:val="none"/>
          <w:u w:val="single"/>
          <w:shd w:val="clear" w:color="auto" w:fill="FFFFFF"/>
          <w:lang w:bidi="ar"/>
        </w:rPr>
      </w:pPr>
    </w:p>
    <w:p w14:paraId="6300DE61">
      <w:pPr>
        <w:pStyle w:val="18"/>
        <w:rPr>
          <w:bCs/>
          <w:color w:val="auto"/>
          <w:highlight w:val="none"/>
          <w:u w:val="single"/>
          <w:shd w:val="clear" w:color="auto" w:fill="FFFFFF"/>
          <w:lang w:bidi="ar"/>
        </w:rPr>
      </w:pPr>
    </w:p>
    <w:p w14:paraId="6408901E">
      <w:pPr>
        <w:pStyle w:val="18"/>
        <w:rPr>
          <w:bCs/>
          <w:color w:val="auto"/>
          <w:highlight w:val="none"/>
          <w:u w:val="single"/>
          <w:shd w:val="clear" w:color="auto" w:fill="FFFFFF"/>
          <w:lang w:bidi="ar"/>
        </w:rPr>
      </w:pPr>
    </w:p>
    <w:p w14:paraId="30FA203E">
      <w:pPr>
        <w:pStyle w:val="18"/>
        <w:rPr>
          <w:bCs/>
          <w:color w:val="auto"/>
          <w:highlight w:val="none"/>
          <w:u w:val="single"/>
          <w:shd w:val="clear" w:color="auto" w:fill="FFFFFF"/>
          <w:lang w:bidi="ar"/>
        </w:rPr>
      </w:pPr>
    </w:p>
    <w:p w14:paraId="3B92C419">
      <w:pPr>
        <w:pStyle w:val="18"/>
        <w:rPr>
          <w:bCs/>
          <w:color w:val="auto"/>
          <w:highlight w:val="none"/>
          <w:u w:val="single"/>
          <w:shd w:val="clear" w:color="auto" w:fill="FFFFFF"/>
          <w:lang w:bidi="ar"/>
        </w:rPr>
      </w:pPr>
    </w:p>
    <w:p w14:paraId="702A9B23">
      <w:pPr>
        <w:pStyle w:val="18"/>
        <w:rPr>
          <w:bCs/>
          <w:color w:val="auto"/>
          <w:highlight w:val="none"/>
          <w:u w:val="single"/>
          <w:shd w:val="clear" w:color="auto" w:fill="FFFFFF"/>
          <w:lang w:bidi="ar"/>
        </w:rPr>
      </w:pPr>
    </w:p>
    <w:p w14:paraId="0CA09630">
      <w:pPr>
        <w:pStyle w:val="18"/>
        <w:rPr>
          <w:bCs/>
          <w:color w:val="auto"/>
          <w:highlight w:val="none"/>
          <w:u w:val="single"/>
          <w:shd w:val="clear" w:color="auto" w:fill="FFFFFF"/>
          <w:lang w:bidi="ar"/>
        </w:rPr>
      </w:pPr>
    </w:p>
    <w:p w14:paraId="5B38DBBE">
      <w:pPr>
        <w:pStyle w:val="18"/>
        <w:rPr>
          <w:bCs/>
          <w:color w:val="auto"/>
          <w:highlight w:val="none"/>
          <w:u w:val="single"/>
          <w:shd w:val="clear" w:color="auto" w:fill="FFFFFF"/>
          <w:lang w:bidi="ar"/>
        </w:rPr>
      </w:pPr>
    </w:p>
    <w:p w14:paraId="4B591E19">
      <w:pPr>
        <w:pStyle w:val="18"/>
        <w:rPr>
          <w:bCs/>
          <w:color w:val="auto"/>
          <w:highlight w:val="none"/>
          <w:u w:val="single"/>
          <w:shd w:val="clear" w:color="auto" w:fill="FFFFFF"/>
          <w:lang w:bidi="ar"/>
        </w:rPr>
      </w:pPr>
    </w:p>
    <w:p w14:paraId="0FB30479">
      <w:pPr>
        <w:pStyle w:val="18"/>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3"/>
        <w:numPr>
          <w:ilvl w:val="0"/>
          <w:numId w:val="0"/>
        </w:numPr>
        <w:spacing w:line="360" w:lineRule="auto"/>
        <w:jc w:val="center"/>
        <w:rPr>
          <w:rFonts w:hAnsi="宋体" w:cs="宋体"/>
          <w:b/>
          <w:color w:val="auto"/>
          <w:szCs w:val="28"/>
          <w:highlight w:val="none"/>
        </w:rPr>
      </w:pPr>
      <w:bookmarkStart w:id="13"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3"/>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2"/>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3"/>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4"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4"/>
    <w:p w14:paraId="1828D840">
      <w:pPr>
        <w:pStyle w:val="23"/>
        <w:numPr>
          <w:ilvl w:val="0"/>
          <w:numId w:val="0"/>
        </w:numPr>
        <w:spacing w:line="360" w:lineRule="auto"/>
        <w:jc w:val="center"/>
        <w:rPr>
          <w:rFonts w:hAnsi="宋体" w:cs="宋体"/>
          <w:b/>
          <w:color w:val="auto"/>
          <w:szCs w:val="28"/>
          <w:highlight w:val="none"/>
        </w:rPr>
      </w:pPr>
      <w:bookmarkStart w:id="15"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5"/>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3"/>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7"/>
      <w:ind w:firstLine="480"/>
      <w:jc w:val="center"/>
      <w:rPr>
        <w:caps/>
        <w:color w:val="5B9BD5"/>
      </w:rPr>
    </w:pPr>
  </w:p>
  <w:p w14:paraId="137D29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7"/>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7"/>
      <w:jc w:val="center"/>
    </w:pPr>
    <w:r>
      <w:fldChar w:fldCharType="begin"/>
    </w:r>
    <w:r>
      <w:instrText xml:space="preserve">PAGE   \* MERGEFORMAT</w:instrText>
    </w:r>
    <w:r>
      <w:fldChar w:fldCharType="separate"/>
    </w:r>
    <w:r>
      <w:t>14</w:t>
    </w:r>
    <w:r>
      <w:fldChar w:fldCharType="end"/>
    </w:r>
  </w:p>
  <w:p w14:paraId="17375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8"/>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A51342A"/>
    <w:rsid w:val="0C0D63C1"/>
    <w:rsid w:val="0C1D5C78"/>
    <w:rsid w:val="0CE47327"/>
    <w:rsid w:val="0E09583C"/>
    <w:rsid w:val="118D2873"/>
    <w:rsid w:val="13476995"/>
    <w:rsid w:val="14293CE9"/>
    <w:rsid w:val="14342EB9"/>
    <w:rsid w:val="154C35DA"/>
    <w:rsid w:val="168353E2"/>
    <w:rsid w:val="17A1678A"/>
    <w:rsid w:val="1AF014FB"/>
    <w:rsid w:val="22157D82"/>
    <w:rsid w:val="23C4333D"/>
    <w:rsid w:val="23DC06B2"/>
    <w:rsid w:val="293A6379"/>
    <w:rsid w:val="29BC0891"/>
    <w:rsid w:val="2B40207D"/>
    <w:rsid w:val="2E402CEA"/>
    <w:rsid w:val="2EC32B7A"/>
    <w:rsid w:val="33B60A9B"/>
    <w:rsid w:val="373152A9"/>
    <w:rsid w:val="37F669A9"/>
    <w:rsid w:val="38A47941"/>
    <w:rsid w:val="3B804A3F"/>
    <w:rsid w:val="439338D7"/>
    <w:rsid w:val="46616783"/>
    <w:rsid w:val="468C7CFB"/>
    <w:rsid w:val="47466B3E"/>
    <w:rsid w:val="489638D5"/>
    <w:rsid w:val="49593F65"/>
    <w:rsid w:val="4B7509E5"/>
    <w:rsid w:val="4BE6036C"/>
    <w:rsid w:val="4CB359BB"/>
    <w:rsid w:val="4CD71C83"/>
    <w:rsid w:val="4DE805F4"/>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B960D99"/>
    <w:rsid w:val="6C38487E"/>
    <w:rsid w:val="6F3D2DF8"/>
    <w:rsid w:val="715F1D28"/>
    <w:rsid w:val="72036EF9"/>
    <w:rsid w:val="72BD5C84"/>
    <w:rsid w:val="72C2197B"/>
    <w:rsid w:val="73964064"/>
    <w:rsid w:val="746425A7"/>
    <w:rsid w:val="775721CE"/>
    <w:rsid w:val="799D25EC"/>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Indent"/>
    <w:basedOn w:val="1"/>
    <w:next w:val="5"/>
    <w:qFormat/>
    <w:uiPriority w:val="99"/>
    <w:pPr>
      <w:widowControl w:val="0"/>
      <w:spacing w:after="120"/>
      <w:ind w:left="420" w:leftChars="200"/>
      <w:jc w:val="both"/>
    </w:pPr>
    <w:rPr>
      <w:rFonts w:ascii="Calibri" w:hAnsi="Calibri" w:cs="Times New Roman"/>
    </w:rPr>
  </w:style>
  <w:style w:type="paragraph" w:styleId="5">
    <w:name w:val="envelope return"/>
    <w:basedOn w:val="1"/>
    <w:qFormat/>
    <w:uiPriority w:val="0"/>
    <w:pPr>
      <w:snapToGrid w:val="0"/>
    </w:pPr>
    <w:rPr>
      <w:rFonts w:ascii="Arial" w:hAnsi="Arial"/>
    </w:rPr>
  </w:style>
  <w:style w:type="paragraph" w:styleId="6">
    <w:name w:val="Plain Text"/>
    <w:basedOn w:val="1"/>
    <w:link w:val="25"/>
    <w:autoRedefine/>
    <w:unhideWhenUsed/>
    <w:qFormat/>
    <w:uiPriority w:val="0"/>
    <w:rPr>
      <w:rFonts w:hAnsi="Courier New" w:cs="Courier New" w:asciiTheme="minorEastAsia" w:eastAsiaTheme="minorEastAsia"/>
    </w:rPr>
  </w:style>
  <w:style w:type="paragraph" w:styleId="7">
    <w:name w:val="footer"/>
    <w:basedOn w:val="1"/>
    <w:link w:val="21"/>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8">
    <w:name w:val="header"/>
    <w:basedOn w:val="1"/>
    <w:link w:val="20"/>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9">
    <w:name w:val="toc 1"/>
    <w:basedOn w:val="1"/>
    <w:next w:val="1"/>
    <w:autoRedefine/>
    <w:unhideWhenUsed/>
    <w:qFormat/>
    <w:uiPriority w:val="39"/>
    <w:pPr>
      <w:widowControl w:val="0"/>
      <w:jc w:val="both"/>
    </w:pPr>
    <w:rPr>
      <w:rFonts w:ascii="Calibri" w:hAnsi="Calibri" w:cs="Times New Roman"/>
      <w:kern w:val="2"/>
      <w:sz w:val="21"/>
    </w:rPr>
  </w:style>
  <w:style w:type="paragraph" w:styleId="10">
    <w:name w:val="Normal (Web)"/>
    <w:basedOn w:val="1"/>
    <w:link w:val="26"/>
    <w:autoRedefine/>
    <w:unhideWhenUsed/>
    <w:qFormat/>
    <w:uiPriority w:val="0"/>
    <w:pPr>
      <w:spacing w:before="100" w:beforeAutospacing="1" w:after="100" w:afterAutospacing="1"/>
    </w:pPr>
  </w:style>
  <w:style w:type="paragraph" w:styleId="11">
    <w:name w:val="Body Text First Indent 2"/>
    <w:basedOn w:val="4"/>
    <w:qFormat/>
    <w:uiPriority w:val="0"/>
    <w:pPr>
      <w:ind w:left="420" w:firstLine="420" w:firstLineChars="200"/>
    </w:pPr>
    <w:rPr>
      <w:rFonts w:ascii="Times New Roman" w:eastAsia="宋?"/>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semiHidden/>
    <w:unhideWhenUsed/>
    <w:qFormat/>
    <w:uiPriority w:val="99"/>
    <w:rPr>
      <w:color w:val="800080"/>
      <w:u w:val="single"/>
    </w:rPr>
  </w:style>
  <w:style w:type="character" w:styleId="17">
    <w:name w:val="Hyperlink"/>
    <w:basedOn w:val="14"/>
    <w:autoRedefine/>
    <w:semiHidden/>
    <w:unhideWhenUsed/>
    <w:qFormat/>
    <w:uiPriority w:val="99"/>
    <w:rPr>
      <w:color w:val="0000FF"/>
      <w:u w:val="single"/>
    </w:rPr>
  </w:style>
  <w:style w:type="paragraph" w:customStyle="1" w:styleId="1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0">
    <w:name w:val="页眉 字符"/>
    <w:basedOn w:val="14"/>
    <w:link w:val="8"/>
    <w:autoRedefine/>
    <w:qFormat/>
    <w:uiPriority w:val="99"/>
    <w:rPr>
      <w:rFonts w:ascii="Calibri" w:hAnsi="Calibri" w:eastAsia="宋体" w:cs="Times New Roman"/>
      <w:sz w:val="18"/>
      <w:szCs w:val="18"/>
    </w:rPr>
  </w:style>
  <w:style w:type="character" w:customStyle="1" w:styleId="21">
    <w:name w:val="页脚 字符"/>
    <w:basedOn w:val="14"/>
    <w:link w:val="7"/>
    <w:autoRedefine/>
    <w:qFormat/>
    <w:uiPriority w:val="99"/>
    <w:rPr>
      <w:rFonts w:ascii="Calibri" w:hAnsi="Calibri" w:eastAsia="宋体" w:cs="Times New Roman"/>
      <w:sz w:val="18"/>
      <w:szCs w:val="18"/>
    </w:rPr>
  </w:style>
  <w:style w:type="character" w:customStyle="1" w:styleId="22">
    <w:name w:val="apple-converted-space"/>
    <w:basedOn w:val="14"/>
    <w:autoRedefine/>
    <w:qFormat/>
    <w:uiPriority w:val="0"/>
  </w:style>
  <w:style w:type="paragraph" w:customStyle="1" w:styleId="23">
    <w:name w:val="样式3"/>
    <w:basedOn w:val="6"/>
    <w:link w:val="24"/>
    <w:autoRedefine/>
    <w:qFormat/>
    <w:uiPriority w:val="0"/>
    <w:pPr>
      <w:widowControl w:val="0"/>
      <w:spacing w:line="0" w:lineRule="atLeast"/>
      <w:jc w:val="both"/>
      <w:outlineLvl w:val="0"/>
    </w:pPr>
    <w:rPr>
      <w:rFonts w:ascii="宋体" w:eastAsia="宋体" w:cs="Times New Roman"/>
      <w:kern w:val="2"/>
      <w:sz w:val="28"/>
    </w:rPr>
  </w:style>
  <w:style w:type="character" w:customStyle="1" w:styleId="24">
    <w:name w:val="样式3 Char Char"/>
    <w:link w:val="23"/>
    <w:autoRedefine/>
    <w:qFormat/>
    <w:uiPriority w:val="0"/>
    <w:rPr>
      <w:rFonts w:ascii="宋体" w:hAnsi="Courier New" w:eastAsia="宋体" w:cs="Times New Roman"/>
      <w:sz w:val="28"/>
    </w:rPr>
  </w:style>
  <w:style w:type="character" w:customStyle="1" w:styleId="25">
    <w:name w:val="纯文本 字符"/>
    <w:basedOn w:val="14"/>
    <w:link w:val="6"/>
    <w:autoRedefine/>
    <w:semiHidden/>
    <w:qFormat/>
    <w:uiPriority w:val="99"/>
    <w:rPr>
      <w:rFonts w:hAnsi="Courier New" w:cs="Courier New" w:asciiTheme="minorEastAsia"/>
      <w:kern w:val="0"/>
      <w:sz w:val="24"/>
    </w:rPr>
  </w:style>
  <w:style w:type="character" w:customStyle="1" w:styleId="26">
    <w:name w:val="普通(网站) 字符"/>
    <w:link w:val="10"/>
    <w:autoRedefine/>
    <w:qFormat/>
    <w:uiPriority w:val="0"/>
    <w:rPr>
      <w:rFonts w:ascii="宋体" w:hAnsi="宋体" w:eastAsia="宋体" w:cs="宋体"/>
      <w:kern w:val="0"/>
      <w:sz w:val="24"/>
    </w:rPr>
  </w:style>
  <w:style w:type="paragraph" w:customStyle="1" w:styleId="27">
    <w:name w:val="msonormal"/>
    <w:basedOn w:val="1"/>
    <w:autoRedefine/>
    <w:qFormat/>
    <w:uiPriority w:val="0"/>
    <w:pPr>
      <w:spacing w:before="100" w:beforeAutospacing="1" w:after="100" w:afterAutospacing="1"/>
    </w:pPr>
  </w:style>
  <w:style w:type="paragraph" w:customStyle="1" w:styleId="28">
    <w:name w:val="font5"/>
    <w:basedOn w:val="1"/>
    <w:autoRedefine/>
    <w:qFormat/>
    <w:uiPriority w:val="0"/>
    <w:pPr>
      <w:spacing w:before="100" w:beforeAutospacing="1" w:after="100" w:afterAutospacing="1"/>
    </w:pPr>
    <w:rPr>
      <w:sz w:val="18"/>
      <w:szCs w:val="18"/>
    </w:rPr>
  </w:style>
  <w:style w:type="paragraph" w:customStyle="1" w:styleId="29">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0">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1">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2">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4">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5">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6">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8">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9">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0">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1">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3">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4">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5">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6">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49">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0">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1">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3">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4">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5">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6">
    <w:name w:val="xl94"/>
    <w:basedOn w:val="1"/>
    <w:autoRedefine/>
    <w:qFormat/>
    <w:uiPriority w:val="0"/>
    <w:pPr>
      <w:spacing w:before="100" w:beforeAutospacing="1" w:after="100" w:afterAutospacing="1"/>
      <w:jc w:val="center"/>
    </w:pPr>
  </w:style>
  <w:style w:type="paragraph" w:customStyle="1" w:styleId="57">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8">
    <w:name w:val="xl96"/>
    <w:basedOn w:val="1"/>
    <w:autoRedefine/>
    <w:qFormat/>
    <w:uiPriority w:val="0"/>
    <w:pPr>
      <w:spacing w:before="100" w:beforeAutospacing="1" w:after="100" w:afterAutospacing="1"/>
    </w:pPr>
    <w:rPr>
      <w:b/>
      <w:bCs/>
      <w:sz w:val="32"/>
      <w:szCs w:val="32"/>
    </w:rPr>
  </w:style>
  <w:style w:type="paragraph" w:customStyle="1" w:styleId="59">
    <w:name w:val="xl97"/>
    <w:basedOn w:val="1"/>
    <w:autoRedefine/>
    <w:qFormat/>
    <w:uiPriority w:val="0"/>
    <w:pPr>
      <w:spacing w:before="100" w:beforeAutospacing="1" w:after="100" w:afterAutospacing="1"/>
      <w:jc w:val="center"/>
    </w:pPr>
    <w:rPr>
      <w:b/>
      <w:bCs/>
      <w:sz w:val="32"/>
      <w:szCs w:val="32"/>
    </w:rPr>
  </w:style>
  <w:style w:type="paragraph" w:customStyle="1" w:styleId="60">
    <w:name w:val="xl98"/>
    <w:basedOn w:val="1"/>
    <w:autoRedefine/>
    <w:qFormat/>
    <w:uiPriority w:val="0"/>
    <w:pPr>
      <w:spacing w:before="100" w:beforeAutospacing="1" w:after="100" w:afterAutospacing="1"/>
      <w:jc w:val="center"/>
    </w:pPr>
  </w:style>
  <w:style w:type="paragraph" w:customStyle="1" w:styleId="61">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2">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列出段落11"/>
    <w:basedOn w:val="1"/>
    <w:autoRedefine/>
    <w:qFormat/>
    <w:uiPriority w:val="0"/>
    <w:pPr>
      <w:ind w:firstLine="420" w:firstLineChars="200"/>
    </w:pPr>
    <w:rPr>
      <w:rFonts w:ascii="Calibri" w:hAnsi="Calibri" w:cs="Times New Roman"/>
    </w:rPr>
  </w:style>
  <w:style w:type="table" w:customStyle="1" w:styleId="65">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5345</Words>
  <Characters>5749</Characters>
  <Lines>30</Lines>
  <Paragraphs>8</Paragraphs>
  <TotalTime>3</TotalTime>
  <ScaleCrop>false</ScaleCrop>
  <LinksUpToDate>false</LinksUpToDate>
  <CharactersWithSpaces>6741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2026-03-19T00:47:33Z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