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YT-SZ2026004</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血液透析机校准装置采购项目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一</w:t>
      </w:r>
      <w:r>
        <w:rPr>
          <w:rFonts w:hint="eastAsia"/>
          <w:b/>
          <w:bCs/>
          <w:color w:val="auto"/>
          <w:sz w:val="44"/>
          <w:szCs w:val="44"/>
          <w:highlight w:val="none"/>
        </w:rPr>
        <w:t>月</w:t>
      </w:r>
    </w:p>
    <w:p w14:paraId="2B57B35E">
      <w:pPr>
        <w:pStyle w:val="66"/>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血液透析机校准装置采购项目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eastAsia"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YT-SZ2026004</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ascii="宋体" w:hAnsi="宋体" w:eastAsia="宋体" w:cs="宋体"/>
          <w:b/>
          <w:bCs/>
          <w:color w:val="auto"/>
          <w:highlight w:val="none"/>
          <w:u w:val="single"/>
          <w:lang w:eastAsia="zh-CN"/>
        </w:rPr>
        <w:t>血液透析机校准装置采购项目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ascii="宋体" w:hAnsi="宋体" w:eastAsia="宋体" w:cs="宋体"/>
          <w:b w:val="0"/>
          <w:bCs w:val="0"/>
          <w:color w:val="auto"/>
          <w:highlight w:val="none"/>
          <w:lang w:eastAsia="zh-CN"/>
        </w:rPr>
        <w:t>血液透析机校准装置采购项目</w:t>
      </w:r>
    </w:p>
    <w:p w14:paraId="6998B50C">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二、项目编号：</w:t>
      </w:r>
      <w:r>
        <w:rPr>
          <w:rFonts w:hint="eastAsia" w:ascii="宋体" w:hAnsi="宋体" w:eastAsia="宋体" w:cs="宋体"/>
          <w:b w:val="0"/>
          <w:bCs w:val="0"/>
          <w:color w:val="auto"/>
          <w:highlight w:val="none"/>
          <w:lang w:eastAsia="zh-CN"/>
        </w:rPr>
        <w:t>YT-SZ2026004</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w:t>
      </w:r>
      <w:r>
        <w:rPr>
          <w:rFonts w:hint="eastAsia" w:ascii="宋体" w:hAnsi="宋体" w:eastAsia="宋体" w:cs="宋体"/>
          <w:b w:val="0"/>
          <w:bCs w:val="0"/>
          <w:color w:val="auto"/>
          <w:highlight w:val="none"/>
          <w:lang w:val="en-US" w:eastAsia="zh-CN"/>
        </w:rPr>
        <w:t>7万元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390D26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本项目为常州检验检测标准认证研究院</w:t>
      </w:r>
      <w:r>
        <w:rPr>
          <w:rFonts w:hint="eastAsia" w:ascii="宋体" w:hAnsi="宋体" w:eastAsia="宋体" w:cs="宋体"/>
          <w:color w:val="auto"/>
          <w:highlight w:val="none"/>
          <w:lang w:val="en-US" w:eastAsia="zh-CN"/>
        </w:rPr>
        <w:t>血液透析机校准装置</w:t>
      </w:r>
      <w:r>
        <w:rPr>
          <w:rFonts w:hint="eastAsia" w:ascii="宋体" w:hAnsi="宋体" w:eastAsia="宋体" w:cs="宋体"/>
          <w:color w:val="auto"/>
          <w:highlight w:val="none"/>
        </w:rPr>
        <w:t>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0"/>
        <w:gridCol w:w="720"/>
        <w:gridCol w:w="5388"/>
      </w:tblGrid>
      <w:tr w14:paraId="299C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DFE5D2D">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FD0660D">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仪器设备名称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1AA1A7">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数量</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1D5FE5FB">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备注</w:t>
            </w:r>
          </w:p>
        </w:tc>
      </w:tr>
      <w:tr w14:paraId="2D3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4F0BCB3">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583479D">
            <w:pPr>
              <w:adjustRightInd w:val="0"/>
              <w:snapToGrid w:val="0"/>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血液透析装置检测仪</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98CC50">
            <w:pPr>
              <w:adjustRightInd w:val="0"/>
              <w:snapToGrid w:val="0"/>
              <w:jc w:val="center"/>
              <w:rPr>
                <w:rFonts w:hint="eastAsia" w:ascii="Times New Roman" w:hAnsi="Times New Roman" w:eastAsia="宋体" w:cs="Times New Roman"/>
                <w:color w:val="auto"/>
                <w:highlight w:val="none"/>
                <w:lang w:eastAsia="zh-CN"/>
              </w:rPr>
            </w:pPr>
            <w:r>
              <w:rPr>
                <w:rFonts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val="en-US" w:eastAsia="zh-CN"/>
              </w:rPr>
              <w:t>台</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6683693C">
            <w:pPr>
              <w:adjustRightInd w:val="0"/>
              <w:snapToGrid w:val="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主要用于</w:t>
            </w:r>
            <w:r>
              <w:rPr>
                <w:rFonts w:hint="eastAsia" w:ascii="Times New Roman" w:hAnsi="Times New Roman" w:eastAsia="宋体" w:cs="Times New Roman"/>
                <w:color w:val="auto"/>
                <w:highlight w:val="none"/>
                <w:lang w:val="en-US" w:eastAsia="zh-CN"/>
              </w:rPr>
              <w:t>医院血液透析机的</w:t>
            </w:r>
            <w:r>
              <w:rPr>
                <w:rFonts w:hint="eastAsia" w:ascii="Times New Roman" w:hAnsi="Times New Roman" w:eastAsia="宋体" w:cs="Times New Roman"/>
                <w:color w:val="auto"/>
                <w:highlight w:val="none"/>
              </w:rPr>
              <w:t>校准</w:t>
            </w:r>
            <w:r>
              <w:rPr>
                <w:rFonts w:hint="eastAsia" w:ascii="Times New Roman" w:hAnsi="Times New Roman" w:eastAsia="宋体" w:cs="Times New Roman"/>
                <w:color w:val="auto"/>
                <w:highlight w:val="none"/>
                <w:lang w:val="en-US" w:eastAsia="zh-CN"/>
              </w:rPr>
              <w:t>工作</w:t>
            </w:r>
            <w:r>
              <w:rPr>
                <w:rFonts w:ascii="Times New Roman" w:hAnsi="Times New Roman" w:eastAsia="宋体" w:cs="Times New Roman"/>
                <w:color w:val="auto"/>
                <w:highlight w:val="none"/>
              </w:rPr>
              <w:t>。</w:t>
            </w:r>
          </w:p>
        </w:tc>
      </w:tr>
    </w:tbl>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p w14:paraId="2DDD9E2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操作环境</w:t>
      </w:r>
    </w:p>
    <w:p w14:paraId="5DE4117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4725BB8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 RH</w:t>
      </w:r>
    </w:p>
    <w:p w14:paraId="000DBE3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供电</w:t>
      </w:r>
      <w:r>
        <w:rPr>
          <w:rFonts w:hint="eastAsia" w:ascii="宋体" w:hAnsi="宋体" w:eastAsia="宋体" w:cs="宋体"/>
          <w:color w:val="auto"/>
          <w:sz w:val="24"/>
          <w:szCs w:val="24"/>
          <w:highlight w:val="none"/>
        </w:rPr>
        <w:t>电源：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V，</w:t>
      </w:r>
      <w:r>
        <w:rPr>
          <w:rFonts w:hint="eastAsia" w:ascii="宋体" w:hAnsi="宋体" w:eastAsia="宋体" w:cs="宋体"/>
          <w:color w:val="auto"/>
          <w:sz w:val="24"/>
          <w:szCs w:val="24"/>
          <w:highlight w:val="none"/>
          <w:lang w:val="en-US" w:eastAsia="zh-CN"/>
        </w:rPr>
        <w:t>频率：（</w:t>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Hz</w:t>
      </w:r>
    </w:p>
    <w:p w14:paraId="05F7CA8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配置要求</w:t>
      </w:r>
    </w:p>
    <w:p w14:paraId="71E64D7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测量范围</w:t>
      </w:r>
    </w:p>
    <w:p w14:paraId="60E3F928">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lang w:val="en-US" w:eastAsia="zh-CN"/>
        </w:rPr>
        <w:t>电导率：(12.5～15.5)mS/cm</w:t>
      </w:r>
    </w:p>
    <w:p w14:paraId="42A8FAD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2流量：(50～1000)mL/min</w:t>
      </w:r>
    </w:p>
    <w:p w14:paraId="02F1C97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3温度：(30～45)℃</w:t>
      </w:r>
    </w:p>
    <w:p w14:paraId="2CDE766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2.1.4压力：(-40～60)kPa[(-300～450)mmHg]</w:t>
      </w:r>
    </w:p>
    <w:p w14:paraId="46EB5DC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测量主要功能</w:t>
      </w:r>
    </w:p>
    <w:p w14:paraId="4384D78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主要用于</w:t>
      </w:r>
      <w:r>
        <w:rPr>
          <w:rFonts w:hint="eastAsia" w:ascii="宋体" w:hAnsi="宋体" w:eastAsia="宋体" w:cs="宋体"/>
          <w:color w:val="auto"/>
          <w:sz w:val="24"/>
          <w:szCs w:val="24"/>
          <w:highlight w:val="none"/>
          <w:lang w:val="en-US" w:eastAsia="zh-CN"/>
        </w:rPr>
        <w:t>血液透析机的透析液电导率，透析液流量，透析液温度，透析机静（动）脉压的</w:t>
      </w:r>
      <w:r>
        <w:rPr>
          <w:rFonts w:hint="eastAsia" w:ascii="宋体" w:hAnsi="宋体" w:eastAsia="宋体" w:cs="宋体"/>
          <w:color w:val="auto"/>
          <w:sz w:val="24"/>
          <w:szCs w:val="24"/>
          <w:highlight w:val="none"/>
        </w:rPr>
        <w:t>校准。</w:t>
      </w:r>
    </w:p>
    <w:p w14:paraId="6909E10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基础技术指标：</w:t>
      </w:r>
    </w:p>
    <w:p w14:paraId="2738727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电导率：(12.5～15.5)mS/cm，最大允许误差：±0.1 mS/cm ，</w:t>
      </w:r>
      <w:r>
        <w:rPr>
          <w:rFonts w:hint="eastAsia" w:ascii="宋体" w:hAnsi="宋体" w:eastAsia="宋体" w:cs="宋体"/>
          <w:color w:val="auto"/>
          <w:sz w:val="24"/>
          <w:szCs w:val="24"/>
          <w:highlight w:val="none"/>
        </w:rPr>
        <w:t>出具省级及以上法定计量技术机构检定或校准证书</w:t>
      </w:r>
      <w:r>
        <w:rPr>
          <w:rFonts w:hint="eastAsia" w:ascii="宋体" w:hAnsi="宋体" w:eastAsia="宋体" w:cs="宋体"/>
          <w:color w:val="auto"/>
          <w:sz w:val="24"/>
          <w:szCs w:val="24"/>
          <w:highlight w:val="none"/>
          <w:lang w:val="en-US" w:eastAsia="zh-CN"/>
        </w:rPr>
        <w:t>。</w:t>
      </w:r>
    </w:p>
    <w:p w14:paraId="0133091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lang w:val="en-US" w:eastAsia="zh-CN"/>
        </w:rPr>
        <w:t>流量：(50～1000)mL/min，最大允许误差：±3.0%，</w:t>
      </w:r>
      <w:r>
        <w:rPr>
          <w:rFonts w:hint="eastAsia" w:ascii="宋体" w:hAnsi="宋体" w:eastAsia="宋体" w:cs="宋体"/>
          <w:color w:val="auto"/>
          <w:sz w:val="24"/>
          <w:szCs w:val="24"/>
          <w:highlight w:val="none"/>
        </w:rPr>
        <w:t>出具省级及以上法定计量技术机构检定或校准证书</w:t>
      </w:r>
      <w:r>
        <w:rPr>
          <w:rFonts w:hint="eastAsia" w:ascii="宋体" w:hAnsi="宋体" w:eastAsia="宋体" w:cs="宋体"/>
          <w:color w:val="auto"/>
          <w:sz w:val="24"/>
          <w:szCs w:val="24"/>
          <w:highlight w:val="none"/>
          <w:lang w:eastAsia="zh-CN"/>
        </w:rPr>
        <w:t>。</w:t>
      </w:r>
    </w:p>
    <w:p w14:paraId="4356DD3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lang w:val="en-US" w:eastAsia="zh-CN"/>
        </w:rPr>
        <w:t>温度：(30～45)℃，最大允许误差：±0.16℃，</w:t>
      </w:r>
      <w:r>
        <w:rPr>
          <w:rFonts w:hint="eastAsia" w:ascii="宋体" w:hAnsi="宋体" w:eastAsia="宋体" w:cs="宋体"/>
          <w:color w:val="auto"/>
          <w:sz w:val="24"/>
          <w:szCs w:val="24"/>
          <w:highlight w:val="none"/>
        </w:rPr>
        <w:t>出具省级及以上法定计量技术机构检定或校准证书</w:t>
      </w:r>
    </w:p>
    <w:p w14:paraId="04E5D6E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4压力：(-40～60)kPa[(-300～450)mmHg]，最大允许误差：±0.4 kPa(±3 mmHg)，</w:t>
      </w:r>
      <w:r>
        <w:rPr>
          <w:rFonts w:hint="eastAsia" w:ascii="宋体" w:hAnsi="宋体" w:eastAsia="宋体" w:cs="宋体"/>
          <w:color w:val="auto"/>
          <w:sz w:val="24"/>
          <w:szCs w:val="24"/>
          <w:highlight w:val="none"/>
        </w:rPr>
        <w:t>出具省级及以上法定计量技术机构检定或校准证书</w:t>
      </w:r>
      <w:r>
        <w:rPr>
          <w:rFonts w:hint="eastAsia" w:ascii="宋体" w:hAnsi="宋体" w:eastAsia="宋体" w:cs="宋体"/>
          <w:color w:val="auto"/>
          <w:sz w:val="24"/>
          <w:szCs w:val="24"/>
          <w:highlight w:val="none"/>
          <w:lang w:val="en-US" w:eastAsia="zh-CN"/>
        </w:rPr>
        <w:t>。</w:t>
      </w:r>
    </w:p>
    <w:p w14:paraId="1B8401F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配套设备要求（优于以下配置）</w:t>
      </w:r>
    </w:p>
    <w:p w14:paraId="3A2E876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3.1配套</w:t>
      </w:r>
      <w:r>
        <w:rPr>
          <w:rFonts w:hint="eastAsia" w:ascii="宋体" w:hAnsi="宋体" w:eastAsia="宋体" w:cs="宋体"/>
          <w:color w:val="auto"/>
          <w:sz w:val="24"/>
          <w:szCs w:val="24"/>
          <w:highlight w:val="none"/>
          <w:lang w:val="en-US" w:eastAsia="zh-CN"/>
        </w:rPr>
        <w:t>电源线。</w:t>
      </w:r>
    </w:p>
    <w:p w14:paraId="79BB93A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需有蓄电池。</w:t>
      </w:r>
    </w:p>
    <w:p w14:paraId="6C635C4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3.3方便携带，体积小。</w:t>
      </w:r>
    </w:p>
    <w:p w14:paraId="57C799C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3.4可消毒并附消毒使用说明。</w:t>
      </w:r>
    </w:p>
    <w:p w14:paraId="11A33EF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4.软件要求（优于以下配置）</w:t>
      </w:r>
    </w:p>
    <w:p w14:paraId="35EB12E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软件环境：Windows 10或更新版本</w:t>
      </w:r>
    </w:p>
    <w:p w14:paraId="579BF8B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软件功能：内装Microsoft Edge、Google Chrome或Firefox等网络浏览器。</w:t>
      </w:r>
    </w:p>
    <w:p w14:paraId="47E97C5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仪器设备通讯要求</w:t>
      </w:r>
    </w:p>
    <w:p w14:paraId="0AFAC02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所提供的仪器设备如有涉及测量数据输出功能，均应提供数据传输协议、软硬件接口文档和数据库链接接口。</w:t>
      </w:r>
    </w:p>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bookmarkStart w:id="16" w:name="_GoBack"/>
      <w:bookmarkEnd w:id="16"/>
    </w:p>
    <w:p w14:paraId="4D223CA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在合同签订生效后（</w:t>
      </w:r>
      <w:r>
        <w:rPr>
          <w:rFonts w:hint="eastAsia" w:ascii="宋体" w:hAnsi="宋体" w:eastAsia="宋体" w:cs="宋体"/>
          <w:color w:val="auto"/>
          <w:sz w:val="24"/>
          <w:szCs w:val="24"/>
          <w:highlight w:val="none"/>
          <w:u w:val="single"/>
        </w:rPr>
        <w:t>30日内）</w:t>
      </w:r>
      <w:r>
        <w:rPr>
          <w:rFonts w:hint="eastAsia" w:ascii="宋体" w:hAnsi="宋体" w:eastAsia="宋体" w:cs="宋体"/>
          <w:color w:val="auto"/>
          <w:sz w:val="24"/>
          <w:szCs w:val="24"/>
          <w:highlight w:val="none"/>
        </w:rPr>
        <w:t>将仪器设备运至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单位，安装调试并经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人验收合格后方可认为交货完成。中标仪器设备到达安装现场后，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应提供详细发货清单，由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人打开包装验货、检查货物数量。验收中发现设备无法正常运行或设备硬件、软件问题由厂家免费更换和维修。设备经三次验收未通过（三个月以内），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人有权要求退货，解除合同，给</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人造成损失的，应赔偿相应损失（合同金额的10%）。无正当理由延期交付的，中标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将承担相应赔偿。</w:t>
      </w:r>
    </w:p>
    <w:p w14:paraId="4F0C0AF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应能保证所提供设备涉及到的知识产权和所提供的软件、技术资料是合法取得，并享有完整的知识产权，不会因为</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人的使用而被责令停止使用、追偿或要求赔偿损失，如出现此情况，一切经济和法律责任均由中标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提供的所有硬件设备必须为合格产品，质量符合国际或国家通用标准，如硬件出现质量问题或系假冒伪劣产品，中标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负责包退、包换，发生的费用由中标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14:paraId="555EED1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所有设备和附配件名称均应符合其规定的性能、无瑕疵和缺陷，必须有质量检验合格证、装箱单、产品安装使用说明书等相关资料，在交货时必须原包装现场拆封验收。中标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对质量问题负责包退、包换、包修，因此发生的费用由中标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09DE3C1D">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设备安装调试完毕后，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提供由甲方指定计量机构出具的检定/校准证书，符合技术要求则验收通过。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6871B91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需提供厂家或售后服务机构、国内代理商关于本项所要求的质量保证及售后服务书面证明材料。</w:t>
      </w:r>
    </w:p>
    <w:p w14:paraId="004C608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质保期：</w:t>
      </w:r>
    </w:p>
    <w:p w14:paraId="69DD925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质保期1年（自设备验收合格之日起计算）。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0DEFFAEA">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售后服务承诺</w:t>
      </w:r>
    </w:p>
    <w:p w14:paraId="108DC10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（1）负责免费安装和调试，对产品承担1年保修期，终身维护；</w:t>
      </w:r>
    </w:p>
    <w:p w14:paraId="4F7A6478">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（2）对用户进行登记造册存档，以备提供相应用户服务；</w:t>
      </w:r>
    </w:p>
    <w:p w14:paraId="7DFA47A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（3）对于用户的报修，厂家2小时内电话回复，如电话不能解决问题，厂家承诺在24个小时内到达现场，予以解决；</w:t>
      </w:r>
    </w:p>
    <w:p w14:paraId="5448CEAD">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（4）例行维护保养</w:t>
      </w:r>
    </w:p>
    <w:p w14:paraId="3201D20C">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如仪器设备需要进行例行维护保养，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仪器设备的例行维护保养服务，包括但不限于：定期上门巡检，检查设备运行状态，进行必要的清洁、润滑、调试校准等维护工作。对于仪器操作人员可以自行进行的维保项目，供应商应提供设备操作培训，确保使用人员能够正确操作和维护设备。免费保修保养期过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应写明维保收费标准及后续承诺优惠折扣率[例如：按次收费/按年收费/按工时收费等]，并提供详细的维护保养内容收费标准清单（含耗材和人工费用）。</w:t>
      </w:r>
    </w:p>
    <w:p w14:paraId="0AAB8C97">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（5）易损件供应</w:t>
      </w:r>
    </w:p>
    <w:p w14:paraId="019D35C3">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如仪器设备含有平均使用寿命不超过三年的密封、易损耗部件，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需承诺长期向使用单位提供仪器设备的易损件，并保证供应的及时性和稳定性。针对易损件供应，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需制定优惠方案，并提供详细的易损件清单价格（含各易损件平均使用时间）及后续承诺优惠折扣率。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需保证提供的易损件均为原厂正品，并提供相应的质量保证文件。</w:t>
      </w:r>
    </w:p>
    <w:p w14:paraId="6545F6D2">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（6）维修件供应及维修服务</w:t>
      </w:r>
    </w:p>
    <w:p w14:paraId="02F5140A">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在产品设计使用寿命期内，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应能保证</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人更换到原厂正品的维修件，确保产品的正常使用。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需提供仪器设备的维修服务，包括但不限于提供故障报修服务，并在接到报修通知后2小时内响应，24小时内到达现场进行维修。</w:t>
      </w:r>
    </w:p>
    <w:p w14:paraId="241A5E00">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供应商提供详细的收费标准清单、主要维修备件价格清单及维修优惠折扣率。免费保修保养期过后，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 [承诺的维修优惠折扣率，例如：按次收费/按年收费/按工时收费等] 收取维修费用，并配备专业的维修工程师，确保及时响应维修需求。</w:t>
      </w:r>
    </w:p>
    <w:p w14:paraId="2026B4A3">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（7）使用成本</w:t>
      </w:r>
    </w:p>
    <w:p w14:paraId="52C22B3D">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14571151">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能源消耗说明：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应提供仪器设备在正常运行状态下的水、电、气等能源消耗数据。</w:t>
      </w:r>
    </w:p>
    <w:p w14:paraId="16E29112">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试剂、试块、耗材使用成本：</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需列出仪器设备在使用过程中所需的试剂、试块、耗材的详细清单，并提供市场价格参考。同时，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应提出降低试剂、试块、耗材使用成本的方案，例如通过优化实验流程、提供高性价比的替代品或提供批量采购优惠等。</w:t>
      </w:r>
    </w:p>
    <w:p w14:paraId="0A1628CB">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成本透明度：</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需提供详细的成本计算方法和依据，确保使用单位能够清晰了解仪器设备在使用过程中的各项成本支出。</w:t>
      </w:r>
    </w:p>
    <w:p w14:paraId="4DC41E2B">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优惠方案：对于试剂、试块、耗材的长期供应，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应制定优惠方案，并提供详细的清单及价格表（含批量采购折扣等），确保使用单位能够以合理的价格获得所需供应品。</w:t>
      </w:r>
    </w:p>
    <w:p w14:paraId="4CD046F4">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通过以上要求，确保</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提供的仪器设备不仅在购买和维护成本上具有竞争力，同时在使用过程中的长期成本也能得到有效控制。</w:t>
      </w:r>
    </w:p>
    <w:p w14:paraId="157A556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技术服务承诺、技术培训承诺</w:t>
      </w:r>
    </w:p>
    <w:p w14:paraId="576ED52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（1）技术服务承诺：</w:t>
      </w:r>
    </w:p>
    <w:p w14:paraId="655B306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应具有相关人员和能力，保证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可随时咨询有关标准、分析原理等技术问题，帮助采购方解决仪器使用中的技术问题，为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解决实际样品分析中的难题。</w:t>
      </w:r>
    </w:p>
    <w:p w14:paraId="484D4E7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应不断对仪器进行硬件和软件更新升级，免费为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提供软件更新升级服务。</w:t>
      </w:r>
    </w:p>
    <w:p w14:paraId="016F7F3B">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（2）技术培训承诺：</w:t>
      </w:r>
    </w:p>
    <w:p w14:paraId="0B7CAE2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44F852D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bookmarkStart w:id="2" w:name="_Hlk1720867"/>
      <w:bookmarkEnd w:id="2"/>
      <w:r>
        <w:rPr>
          <w:rFonts w:hint="eastAsia" w:ascii="宋体" w:hAnsi="宋体" w:eastAsia="宋体" w:cs="宋体"/>
          <w:color w:val="auto"/>
          <w:sz w:val="24"/>
          <w:szCs w:val="24"/>
          <w:highlight w:val="none"/>
        </w:rPr>
        <w:t>合同签订并生效后，待设备到场、安装调试完毕且经验收合格，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应在收到</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开具的合规增值税发票后内支付全部合同款项。</w:t>
      </w:r>
    </w:p>
    <w:p w14:paraId="036C8B1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服务要求</w:t>
      </w:r>
    </w:p>
    <w:p w14:paraId="273463E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需承担装卸、运输、调试等工作，在装车过程中出现的一切安全事故由中标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bookmarkEnd w:id="1"/>
    <w:p w14:paraId="6F8225B5">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六、</w:t>
      </w:r>
      <w:r>
        <w:rPr>
          <w:rFonts w:hint="eastAsia" w:ascii="宋体" w:hAnsi="宋体" w:eastAsia="宋体" w:cs="宋体"/>
          <w:b/>
          <w:bCs/>
          <w:color w:val="auto"/>
          <w:highlight w:val="none"/>
        </w:rPr>
        <w:t>成交原则：</w:t>
      </w:r>
    </w:p>
    <w:p w14:paraId="3D5CD290">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lang w:eastAsia="zh-CN"/>
        </w:rPr>
      </w:pPr>
      <w:r>
        <w:rPr>
          <w:rFonts w:hint="eastAsia"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bookmarkStart w:id="3" w:name="OLE_LINK1"/>
      <w:bookmarkStart w:id="4" w:name="OLE_LINK2"/>
      <w:r>
        <w:rPr>
          <w:rFonts w:hint="eastAsia" w:ascii="宋体" w:hAnsi="宋体" w:eastAsia="宋体" w:cs="宋体"/>
          <w:color w:val="auto"/>
          <w:highlight w:val="none"/>
        </w:rPr>
        <w:t>代理机构联系人：</w:t>
      </w:r>
      <w:r>
        <w:rPr>
          <w:rFonts w:hint="eastAsia"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联系人：李先生</w:t>
      </w:r>
    </w:p>
    <w:p w14:paraId="5302F976">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cs="宋体"/>
          <w:color w:val="auto"/>
          <w:highlight w:val="none"/>
          <w:lang w:val="en-US" w:eastAsia="zh-CN"/>
        </w:rPr>
      </w:pPr>
      <w:r>
        <w:rPr>
          <w:rFonts w:hint="eastAsia" w:ascii="宋体" w:hAnsi="宋体" w:eastAsia="宋体" w:cs="宋体"/>
          <w:color w:val="auto"/>
          <w:highlight w:val="none"/>
        </w:rPr>
        <w:t>联系电话：0519-86290019</w:t>
      </w:r>
      <w:r>
        <w:rPr>
          <w:rFonts w:hint="eastAsia" w:cs="宋体"/>
          <w:color w:val="auto"/>
          <w:highlight w:val="none"/>
          <w:lang w:val="en-US" w:eastAsia="zh-CN"/>
        </w:rPr>
        <w:t xml:space="preserve">                         </w:t>
      </w:r>
    </w:p>
    <w:p w14:paraId="6E054746">
      <w:pPr>
        <w:spacing w:line="460" w:lineRule="exact"/>
        <w:ind w:firstLine="480" w:firstLineChars="200"/>
        <w:jc w:val="right"/>
        <w:rPr>
          <w:rFonts w:hint="eastAsia" w:cs="宋体"/>
          <w:color w:val="auto"/>
          <w:highlight w:val="none"/>
          <w:lang w:val="en-US" w:eastAsia="zh-CN"/>
        </w:rPr>
      </w:pPr>
    </w:p>
    <w:p w14:paraId="4CB52866">
      <w:pPr>
        <w:spacing w:line="460" w:lineRule="exact"/>
        <w:ind w:firstLine="480" w:firstLineChars="200"/>
        <w:jc w:val="right"/>
        <w:rPr>
          <w:rFonts w:hint="eastAsia" w:cs="宋体"/>
          <w:color w:val="auto"/>
          <w:highlight w:val="none"/>
          <w:lang w:val="en-US" w:eastAsia="zh-CN"/>
        </w:rPr>
      </w:pPr>
    </w:p>
    <w:p w14:paraId="4447B164">
      <w:pPr>
        <w:spacing w:line="460" w:lineRule="exact"/>
        <w:ind w:firstLine="480" w:firstLineChars="200"/>
        <w:jc w:val="right"/>
        <w:rPr>
          <w:rFonts w:hint="eastAsia" w:cs="宋体"/>
          <w:color w:val="auto"/>
          <w:highlight w:val="none"/>
          <w:lang w:val="en-US" w:eastAsia="zh-CN"/>
        </w:rPr>
      </w:pPr>
    </w:p>
    <w:p w14:paraId="6738C1A9">
      <w:pPr>
        <w:spacing w:line="460" w:lineRule="exact"/>
        <w:ind w:firstLine="480" w:firstLineChars="200"/>
        <w:jc w:val="right"/>
        <w:rPr>
          <w:rFonts w:hint="eastAsia" w:cs="宋体"/>
          <w:color w:val="auto"/>
          <w:highlight w:val="none"/>
          <w:lang w:val="en-US" w:eastAsia="zh-CN"/>
        </w:rPr>
      </w:pP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1</w:t>
      </w:r>
      <w:r>
        <w:rPr>
          <w:color w:val="auto"/>
          <w:highlight w:val="none"/>
        </w:rPr>
        <w:t>月</w:t>
      </w:r>
      <w:r>
        <w:rPr>
          <w:rFonts w:hint="eastAsia"/>
          <w:color w:val="auto"/>
          <w:highlight w:val="none"/>
          <w:lang w:val="en-US" w:eastAsia="zh-CN"/>
        </w:rPr>
        <w:t>20</w:t>
      </w:r>
      <w:r>
        <w:rPr>
          <w:color w:val="auto"/>
          <w:highlight w:val="none"/>
        </w:rPr>
        <w:t>日</w:t>
      </w:r>
      <w:bookmarkEnd w:id="3"/>
      <w:bookmarkEnd w:id="4"/>
    </w:p>
    <w:p w14:paraId="12F54626">
      <w:pPr>
        <w:rPr>
          <w:rFonts w:hint="eastAsia"/>
          <w:b/>
          <w:color w:val="auto"/>
          <w:sz w:val="72"/>
          <w:highlight w:val="none"/>
        </w:rPr>
      </w:pPr>
      <w:r>
        <w:rPr>
          <w:rFonts w:hint="eastAsia"/>
          <w:b/>
          <w:color w:val="auto"/>
          <w:sz w:val="72"/>
          <w:highlight w:val="none"/>
        </w:rPr>
        <w:br w:type="page"/>
      </w:r>
    </w:p>
    <w:p w14:paraId="4EB8793B">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6"/>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6"/>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3"/>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3"/>
        <w:spacing w:after="120" w:line="500" w:lineRule="exact"/>
        <w:jc w:val="center"/>
        <w:outlineLvl w:val="9"/>
        <w:rPr>
          <w:rFonts w:hAnsi="宋体" w:cs="宋体"/>
          <w:color w:val="auto"/>
          <w:sz w:val="24"/>
          <w:highlight w:val="none"/>
        </w:rPr>
      </w:pPr>
    </w:p>
    <w:p w14:paraId="6962C14B">
      <w:pPr>
        <w:pStyle w:val="23"/>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3"/>
        <w:spacing w:after="120" w:line="500" w:lineRule="exact"/>
        <w:jc w:val="center"/>
        <w:outlineLvl w:val="9"/>
        <w:rPr>
          <w:rFonts w:hAnsi="宋体" w:cs="宋体"/>
          <w:b/>
          <w:color w:val="auto"/>
          <w:sz w:val="36"/>
          <w:highlight w:val="none"/>
        </w:rPr>
      </w:pPr>
    </w:p>
    <w:p w14:paraId="330D5650">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9"/>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3"/>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3"/>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5" w:name="_Toc34296079"/>
      <w:bookmarkStart w:id="6" w:name="_Toc34311362"/>
      <w:r>
        <w:rPr>
          <w:b/>
          <w:color w:val="auto"/>
          <w:szCs w:val="28"/>
          <w:highlight w:val="none"/>
        </w:rPr>
        <w:br w:type="page"/>
      </w:r>
    </w:p>
    <w:p w14:paraId="338DF321">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5"/>
      <w:bookmarkEnd w:id="6"/>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7" w:name="_Toc34296080"/>
      <w:bookmarkStart w:id="8" w:name="_Toc34311363"/>
      <w:r>
        <w:rPr>
          <w:b/>
          <w:color w:val="auto"/>
          <w:szCs w:val="28"/>
          <w:highlight w:val="none"/>
        </w:rPr>
        <w:br w:type="page"/>
      </w:r>
    </w:p>
    <w:p w14:paraId="1ED78ABD">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7"/>
      <w:bookmarkEnd w:id="8"/>
    </w:p>
    <w:p w14:paraId="74E21A4D">
      <w:pPr>
        <w:pStyle w:val="10"/>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0"/>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0"/>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3"/>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9" w:name="_Toc34311364"/>
      <w:bookmarkStart w:id="10" w:name="_Toc34296081"/>
      <w:r>
        <w:rPr>
          <w:b/>
          <w:color w:val="auto"/>
          <w:szCs w:val="28"/>
          <w:highlight w:val="none"/>
        </w:rPr>
        <w:br w:type="page"/>
      </w:r>
    </w:p>
    <w:p w14:paraId="08240DAC">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9"/>
      <w:bookmarkEnd w:id="10"/>
    </w:p>
    <w:p w14:paraId="0206CB74">
      <w:pPr>
        <w:shd w:val="clear" w:color="auto" w:fill="FFFFFF"/>
        <w:spacing w:line="420" w:lineRule="exact"/>
        <w:ind w:left="723"/>
        <w:rPr>
          <w:b/>
          <w:color w:val="auto"/>
          <w:highlight w:val="none"/>
          <w:shd w:val="clear" w:color="auto" w:fill="FFFFFF"/>
          <w:lang w:bidi="ar"/>
        </w:rPr>
      </w:pPr>
    </w:p>
    <w:p w14:paraId="5B96ECB3">
      <w:pPr>
        <w:pStyle w:val="10"/>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0"/>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0"/>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0"/>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0"/>
        <w:spacing w:before="0" w:beforeAutospacing="0" w:after="0" w:afterAutospacing="0" w:line="420" w:lineRule="exact"/>
        <w:rPr>
          <w:color w:val="auto"/>
          <w:highlight w:val="none"/>
        </w:rPr>
      </w:pPr>
      <w:r>
        <w:rPr>
          <w:rFonts w:hint="eastAsia"/>
          <w:color w:val="auto"/>
          <w:highlight w:val="none"/>
        </w:rPr>
        <w:t> </w:t>
      </w:r>
    </w:p>
    <w:p w14:paraId="789C4F12">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0"/>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0"/>
        <w:spacing w:before="0" w:beforeAutospacing="0" w:after="0" w:afterAutospacing="0" w:line="420" w:lineRule="exact"/>
        <w:rPr>
          <w:color w:val="auto"/>
          <w:highlight w:val="none"/>
        </w:rPr>
      </w:pPr>
      <w:r>
        <w:rPr>
          <w:rFonts w:hint="eastAsia"/>
          <w:color w:val="auto"/>
          <w:highlight w:val="none"/>
        </w:rPr>
        <w:t> </w:t>
      </w:r>
    </w:p>
    <w:p w14:paraId="1416D009">
      <w:pPr>
        <w:pStyle w:val="10"/>
        <w:spacing w:before="0" w:beforeAutospacing="0" w:after="0" w:afterAutospacing="0" w:line="420" w:lineRule="exact"/>
        <w:rPr>
          <w:color w:val="auto"/>
          <w:highlight w:val="none"/>
        </w:rPr>
      </w:pPr>
      <w:r>
        <w:rPr>
          <w:rFonts w:hint="eastAsia"/>
          <w:color w:val="auto"/>
          <w:highlight w:val="none"/>
        </w:rPr>
        <w:t>授权方</w:t>
      </w:r>
    </w:p>
    <w:p w14:paraId="4043C435">
      <w:pPr>
        <w:pStyle w:val="10"/>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0"/>
        <w:spacing w:before="0" w:beforeAutospacing="0" w:after="0" w:afterAutospacing="0" w:line="420" w:lineRule="exact"/>
        <w:rPr>
          <w:color w:val="auto"/>
          <w:highlight w:val="none"/>
        </w:rPr>
      </w:pPr>
      <w:r>
        <w:rPr>
          <w:rFonts w:hint="eastAsia"/>
          <w:color w:val="auto"/>
          <w:highlight w:val="none"/>
        </w:rPr>
        <w:t> </w:t>
      </w:r>
    </w:p>
    <w:p w14:paraId="18F9DD42">
      <w:pPr>
        <w:pStyle w:val="10"/>
        <w:spacing w:before="0" w:beforeAutospacing="0" w:after="0" w:afterAutospacing="0" w:line="420" w:lineRule="exact"/>
        <w:rPr>
          <w:color w:val="auto"/>
          <w:highlight w:val="none"/>
        </w:rPr>
      </w:pPr>
      <w:r>
        <w:rPr>
          <w:rFonts w:hint="eastAsia"/>
          <w:color w:val="auto"/>
          <w:highlight w:val="none"/>
        </w:rPr>
        <w:t>接受授权方</w:t>
      </w:r>
    </w:p>
    <w:p w14:paraId="08C533E5">
      <w:pPr>
        <w:pStyle w:val="10"/>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0"/>
        <w:spacing w:before="0" w:beforeAutospacing="0" w:after="0" w:afterAutospacing="0" w:line="420" w:lineRule="exact"/>
        <w:rPr>
          <w:color w:val="auto"/>
          <w:highlight w:val="none"/>
        </w:rPr>
      </w:pPr>
      <w:r>
        <w:rPr>
          <w:rFonts w:hint="eastAsia"/>
          <w:color w:val="auto"/>
          <w:highlight w:val="none"/>
        </w:rPr>
        <w:t> </w:t>
      </w:r>
    </w:p>
    <w:p w14:paraId="7A4DE6AA">
      <w:pPr>
        <w:pStyle w:val="10"/>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0"/>
        <w:spacing w:before="0" w:beforeAutospacing="0" w:after="0" w:afterAutospacing="0" w:line="420" w:lineRule="exact"/>
        <w:rPr>
          <w:color w:val="auto"/>
          <w:highlight w:val="none"/>
        </w:rPr>
      </w:pPr>
      <w:r>
        <w:rPr>
          <w:rFonts w:hint="eastAsia"/>
          <w:color w:val="auto"/>
          <w:highlight w:val="none"/>
        </w:rPr>
        <w:t> </w:t>
      </w:r>
    </w:p>
    <w:p w14:paraId="4C9C4004">
      <w:pPr>
        <w:pStyle w:val="10"/>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0"/>
        <w:spacing w:before="0" w:beforeAutospacing="0" w:after="0" w:afterAutospacing="0" w:line="420" w:lineRule="exact"/>
        <w:rPr>
          <w:color w:val="auto"/>
          <w:highlight w:val="none"/>
        </w:rPr>
      </w:pP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0"/>
              <w:spacing w:before="0" w:beforeAutospacing="0" w:after="0" w:afterAutospacing="0" w:line="420" w:lineRule="exact"/>
              <w:jc w:val="center"/>
              <w:rPr>
                <w:color w:val="auto"/>
                <w:highlight w:val="none"/>
              </w:rPr>
            </w:pPr>
            <w:r>
              <w:rPr>
                <w:rStyle w:val="15"/>
                <w:rFonts w:hint="eastAsia"/>
                <w:color w:val="auto"/>
                <w:highlight w:val="none"/>
              </w:rPr>
              <w:t> </w:t>
            </w:r>
          </w:p>
          <w:p w14:paraId="6295BEF3">
            <w:pPr>
              <w:pStyle w:val="10"/>
              <w:spacing w:before="0" w:beforeAutospacing="0" w:after="0" w:afterAutospacing="0" w:line="420" w:lineRule="exact"/>
              <w:jc w:val="center"/>
              <w:rPr>
                <w:color w:val="auto"/>
                <w:highlight w:val="none"/>
              </w:rPr>
            </w:pPr>
            <w:r>
              <w:rPr>
                <w:rStyle w:val="15"/>
                <w:rFonts w:hint="eastAsia"/>
                <w:color w:val="auto"/>
                <w:highlight w:val="none"/>
              </w:rPr>
              <w:t>要求：真实有效且内容完整、清晰、整洁。</w:t>
            </w:r>
          </w:p>
          <w:p w14:paraId="7AC65F6C">
            <w:pPr>
              <w:pStyle w:val="10"/>
              <w:spacing w:before="0" w:beforeAutospacing="0" w:after="0" w:afterAutospacing="0" w:line="420" w:lineRule="exact"/>
              <w:jc w:val="center"/>
              <w:rPr>
                <w:color w:val="auto"/>
                <w:highlight w:val="none"/>
              </w:rPr>
            </w:pPr>
            <w:r>
              <w:rPr>
                <w:rStyle w:val="15"/>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1" w:name="_Toc34311365"/>
      <w:bookmarkStart w:id="12" w:name="_Toc34296082"/>
      <w:r>
        <w:rPr>
          <w:b/>
          <w:color w:val="auto"/>
          <w:szCs w:val="28"/>
          <w:highlight w:val="none"/>
        </w:rPr>
        <w:br w:type="page"/>
      </w:r>
    </w:p>
    <w:bookmarkEnd w:id="11"/>
    <w:bookmarkEnd w:id="12"/>
    <w:p w14:paraId="478D408B">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2"/>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8"/>
        <w:rPr>
          <w:bCs/>
          <w:color w:val="auto"/>
          <w:highlight w:val="none"/>
          <w:u w:val="single"/>
          <w:shd w:val="clear" w:color="auto" w:fill="FFFFFF"/>
          <w:lang w:bidi="ar"/>
        </w:rPr>
      </w:pPr>
    </w:p>
    <w:p w14:paraId="31F470A4">
      <w:pPr>
        <w:pStyle w:val="18"/>
        <w:rPr>
          <w:bCs/>
          <w:color w:val="auto"/>
          <w:highlight w:val="none"/>
          <w:u w:val="single"/>
          <w:shd w:val="clear" w:color="auto" w:fill="FFFFFF"/>
          <w:lang w:bidi="ar"/>
        </w:rPr>
      </w:pPr>
    </w:p>
    <w:p w14:paraId="534B8F1C">
      <w:pPr>
        <w:pStyle w:val="18"/>
        <w:rPr>
          <w:bCs/>
          <w:color w:val="auto"/>
          <w:highlight w:val="none"/>
          <w:u w:val="single"/>
          <w:shd w:val="clear" w:color="auto" w:fill="FFFFFF"/>
          <w:lang w:bidi="ar"/>
        </w:rPr>
      </w:pPr>
    </w:p>
    <w:p w14:paraId="51870CC8">
      <w:pPr>
        <w:pStyle w:val="18"/>
        <w:rPr>
          <w:bCs/>
          <w:color w:val="auto"/>
          <w:highlight w:val="none"/>
          <w:u w:val="single"/>
          <w:shd w:val="clear" w:color="auto" w:fill="FFFFFF"/>
          <w:lang w:bidi="ar"/>
        </w:rPr>
      </w:pPr>
    </w:p>
    <w:p w14:paraId="47EA54A9">
      <w:pPr>
        <w:pStyle w:val="18"/>
        <w:rPr>
          <w:bCs/>
          <w:color w:val="auto"/>
          <w:highlight w:val="none"/>
          <w:u w:val="single"/>
          <w:shd w:val="clear" w:color="auto" w:fill="FFFFFF"/>
          <w:lang w:bidi="ar"/>
        </w:rPr>
      </w:pPr>
    </w:p>
    <w:p w14:paraId="48A391AB">
      <w:pPr>
        <w:pStyle w:val="18"/>
        <w:rPr>
          <w:bCs/>
          <w:color w:val="auto"/>
          <w:highlight w:val="none"/>
          <w:u w:val="single"/>
          <w:shd w:val="clear" w:color="auto" w:fill="FFFFFF"/>
          <w:lang w:bidi="ar"/>
        </w:rPr>
      </w:pPr>
    </w:p>
    <w:p w14:paraId="296D850A">
      <w:pPr>
        <w:pStyle w:val="18"/>
        <w:rPr>
          <w:bCs/>
          <w:color w:val="auto"/>
          <w:highlight w:val="none"/>
          <w:u w:val="single"/>
          <w:shd w:val="clear" w:color="auto" w:fill="FFFFFF"/>
          <w:lang w:bidi="ar"/>
        </w:rPr>
      </w:pPr>
    </w:p>
    <w:p w14:paraId="5BC22020">
      <w:pPr>
        <w:pStyle w:val="18"/>
        <w:rPr>
          <w:bCs/>
          <w:color w:val="auto"/>
          <w:highlight w:val="none"/>
          <w:u w:val="single"/>
          <w:shd w:val="clear" w:color="auto" w:fill="FFFFFF"/>
          <w:lang w:bidi="ar"/>
        </w:rPr>
      </w:pPr>
    </w:p>
    <w:p w14:paraId="6DC7774C">
      <w:pPr>
        <w:pStyle w:val="18"/>
        <w:rPr>
          <w:bCs/>
          <w:color w:val="auto"/>
          <w:highlight w:val="none"/>
          <w:u w:val="single"/>
          <w:shd w:val="clear" w:color="auto" w:fill="FFFFFF"/>
          <w:lang w:bidi="ar"/>
        </w:rPr>
      </w:pPr>
    </w:p>
    <w:p w14:paraId="22F42B8B">
      <w:pPr>
        <w:pStyle w:val="18"/>
        <w:rPr>
          <w:bCs/>
          <w:color w:val="auto"/>
          <w:highlight w:val="none"/>
          <w:u w:val="single"/>
          <w:shd w:val="clear" w:color="auto" w:fill="FFFFFF"/>
          <w:lang w:bidi="ar"/>
        </w:rPr>
      </w:pPr>
    </w:p>
    <w:p w14:paraId="5153D0E3">
      <w:pPr>
        <w:pStyle w:val="18"/>
        <w:rPr>
          <w:bCs/>
          <w:color w:val="auto"/>
          <w:highlight w:val="none"/>
          <w:u w:val="single"/>
          <w:shd w:val="clear" w:color="auto" w:fill="FFFFFF"/>
          <w:lang w:bidi="ar"/>
        </w:rPr>
      </w:pPr>
    </w:p>
    <w:p w14:paraId="43324122">
      <w:pPr>
        <w:pStyle w:val="18"/>
        <w:rPr>
          <w:bCs/>
          <w:color w:val="auto"/>
          <w:highlight w:val="none"/>
          <w:u w:val="single"/>
          <w:shd w:val="clear" w:color="auto" w:fill="FFFFFF"/>
          <w:lang w:bidi="ar"/>
        </w:rPr>
      </w:pPr>
    </w:p>
    <w:p w14:paraId="32F2B15C">
      <w:pPr>
        <w:pStyle w:val="18"/>
        <w:rPr>
          <w:bCs/>
          <w:color w:val="auto"/>
          <w:highlight w:val="none"/>
          <w:u w:val="single"/>
          <w:shd w:val="clear" w:color="auto" w:fill="FFFFFF"/>
          <w:lang w:bidi="ar"/>
        </w:rPr>
      </w:pPr>
    </w:p>
    <w:p w14:paraId="6300DE61">
      <w:pPr>
        <w:pStyle w:val="18"/>
        <w:rPr>
          <w:bCs/>
          <w:color w:val="auto"/>
          <w:highlight w:val="none"/>
          <w:u w:val="single"/>
          <w:shd w:val="clear" w:color="auto" w:fill="FFFFFF"/>
          <w:lang w:bidi="ar"/>
        </w:rPr>
      </w:pPr>
    </w:p>
    <w:p w14:paraId="6408901E">
      <w:pPr>
        <w:pStyle w:val="18"/>
        <w:rPr>
          <w:bCs/>
          <w:color w:val="auto"/>
          <w:highlight w:val="none"/>
          <w:u w:val="single"/>
          <w:shd w:val="clear" w:color="auto" w:fill="FFFFFF"/>
          <w:lang w:bidi="ar"/>
        </w:rPr>
      </w:pPr>
    </w:p>
    <w:p w14:paraId="30FA203E">
      <w:pPr>
        <w:pStyle w:val="18"/>
        <w:rPr>
          <w:bCs/>
          <w:color w:val="auto"/>
          <w:highlight w:val="none"/>
          <w:u w:val="single"/>
          <w:shd w:val="clear" w:color="auto" w:fill="FFFFFF"/>
          <w:lang w:bidi="ar"/>
        </w:rPr>
      </w:pPr>
    </w:p>
    <w:p w14:paraId="3B92C419">
      <w:pPr>
        <w:pStyle w:val="18"/>
        <w:rPr>
          <w:bCs/>
          <w:color w:val="auto"/>
          <w:highlight w:val="none"/>
          <w:u w:val="single"/>
          <w:shd w:val="clear" w:color="auto" w:fill="FFFFFF"/>
          <w:lang w:bidi="ar"/>
        </w:rPr>
      </w:pPr>
    </w:p>
    <w:p w14:paraId="702A9B23">
      <w:pPr>
        <w:pStyle w:val="18"/>
        <w:rPr>
          <w:bCs/>
          <w:color w:val="auto"/>
          <w:highlight w:val="none"/>
          <w:u w:val="single"/>
          <w:shd w:val="clear" w:color="auto" w:fill="FFFFFF"/>
          <w:lang w:bidi="ar"/>
        </w:rPr>
      </w:pPr>
    </w:p>
    <w:p w14:paraId="0CA09630">
      <w:pPr>
        <w:pStyle w:val="18"/>
        <w:rPr>
          <w:bCs/>
          <w:color w:val="auto"/>
          <w:highlight w:val="none"/>
          <w:u w:val="single"/>
          <w:shd w:val="clear" w:color="auto" w:fill="FFFFFF"/>
          <w:lang w:bidi="ar"/>
        </w:rPr>
      </w:pPr>
    </w:p>
    <w:p w14:paraId="5B38DBBE">
      <w:pPr>
        <w:pStyle w:val="18"/>
        <w:rPr>
          <w:bCs/>
          <w:color w:val="auto"/>
          <w:highlight w:val="none"/>
          <w:u w:val="single"/>
          <w:shd w:val="clear" w:color="auto" w:fill="FFFFFF"/>
          <w:lang w:bidi="ar"/>
        </w:rPr>
      </w:pPr>
    </w:p>
    <w:p w14:paraId="4B591E19">
      <w:pPr>
        <w:pStyle w:val="18"/>
        <w:rPr>
          <w:bCs/>
          <w:color w:val="auto"/>
          <w:highlight w:val="none"/>
          <w:u w:val="single"/>
          <w:shd w:val="clear" w:color="auto" w:fill="FFFFFF"/>
          <w:lang w:bidi="ar"/>
        </w:rPr>
      </w:pPr>
    </w:p>
    <w:p w14:paraId="0FB30479">
      <w:pPr>
        <w:pStyle w:val="18"/>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3"/>
        <w:numPr>
          <w:ilvl w:val="0"/>
          <w:numId w:val="0"/>
        </w:numPr>
        <w:spacing w:line="360" w:lineRule="auto"/>
        <w:jc w:val="center"/>
        <w:rPr>
          <w:rFonts w:hAnsi="宋体" w:cs="宋体"/>
          <w:b/>
          <w:color w:val="auto"/>
          <w:szCs w:val="28"/>
          <w:highlight w:val="none"/>
        </w:rPr>
      </w:pPr>
      <w:bookmarkStart w:id="13"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3"/>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3"/>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4"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4"/>
    <w:p w14:paraId="1828D840">
      <w:pPr>
        <w:pStyle w:val="23"/>
        <w:numPr>
          <w:ilvl w:val="0"/>
          <w:numId w:val="0"/>
        </w:numPr>
        <w:spacing w:line="360" w:lineRule="auto"/>
        <w:jc w:val="center"/>
        <w:rPr>
          <w:rFonts w:hAnsi="宋体" w:cs="宋体"/>
          <w:b/>
          <w:color w:val="auto"/>
          <w:szCs w:val="28"/>
          <w:highlight w:val="none"/>
        </w:rPr>
      </w:pPr>
      <w:bookmarkStart w:id="15"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5"/>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3"/>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7"/>
      <w:ind w:firstLine="480"/>
      <w:jc w:val="center"/>
      <w:rPr>
        <w:caps/>
        <w:color w:val="5B9BD5"/>
      </w:rPr>
    </w:pPr>
  </w:p>
  <w:p w14:paraId="137D29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7"/>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7"/>
      <w:jc w:val="center"/>
    </w:pPr>
    <w:r>
      <w:fldChar w:fldCharType="begin"/>
    </w:r>
    <w:r>
      <w:instrText xml:space="preserve">PAGE   \* MERGEFORMAT</w:instrText>
    </w:r>
    <w:r>
      <w:fldChar w:fldCharType="separate"/>
    </w:r>
    <w:r>
      <w:t>14</w:t>
    </w:r>
    <w:r>
      <w:fldChar w:fldCharType="end"/>
    </w:r>
  </w:p>
  <w:p w14:paraId="17375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8"/>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7E27E3A"/>
    <w:rsid w:val="07E35FFF"/>
    <w:rsid w:val="086034E4"/>
    <w:rsid w:val="08E104C7"/>
    <w:rsid w:val="0A51342A"/>
    <w:rsid w:val="0C0D63C1"/>
    <w:rsid w:val="0C1D5C78"/>
    <w:rsid w:val="0CE47327"/>
    <w:rsid w:val="0E09583C"/>
    <w:rsid w:val="118D2873"/>
    <w:rsid w:val="13476995"/>
    <w:rsid w:val="14293CE9"/>
    <w:rsid w:val="154C35DA"/>
    <w:rsid w:val="168353E2"/>
    <w:rsid w:val="17A1678A"/>
    <w:rsid w:val="1AF014FB"/>
    <w:rsid w:val="22157D82"/>
    <w:rsid w:val="23DC06B2"/>
    <w:rsid w:val="293A6379"/>
    <w:rsid w:val="29BC0891"/>
    <w:rsid w:val="2B40207D"/>
    <w:rsid w:val="2E402CEA"/>
    <w:rsid w:val="2EC32B7A"/>
    <w:rsid w:val="33B60A9B"/>
    <w:rsid w:val="373152A9"/>
    <w:rsid w:val="37F669A9"/>
    <w:rsid w:val="38A47941"/>
    <w:rsid w:val="3B804A3F"/>
    <w:rsid w:val="439338D7"/>
    <w:rsid w:val="468C7CFB"/>
    <w:rsid w:val="489638D5"/>
    <w:rsid w:val="49593F65"/>
    <w:rsid w:val="4B7509E5"/>
    <w:rsid w:val="4BE6036C"/>
    <w:rsid w:val="4CB359BB"/>
    <w:rsid w:val="4CD71C83"/>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C38487E"/>
    <w:rsid w:val="715F1D28"/>
    <w:rsid w:val="72036EF9"/>
    <w:rsid w:val="72BD5C84"/>
    <w:rsid w:val="72C2197B"/>
    <w:rsid w:val="73964064"/>
    <w:rsid w:val="775721CE"/>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Indent"/>
    <w:basedOn w:val="1"/>
    <w:next w:val="5"/>
    <w:qFormat/>
    <w:uiPriority w:val="99"/>
    <w:pPr>
      <w:widowControl w:val="0"/>
      <w:spacing w:after="120"/>
      <w:ind w:left="420" w:leftChars="200"/>
      <w:jc w:val="both"/>
    </w:pPr>
    <w:rPr>
      <w:rFonts w:ascii="Calibri" w:hAnsi="Calibri" w:cs="Times New Roman"/>
    </w:rPr>
  </w:style>
  <w:style w:type="paragraph" w:styleId="5">
    <w:name w:val="envelope return"/>
    <w:basedOn w:val="1"/>
    <w:qFormat/>
    <w:uiPriority w:val="0"/>
    <w:pPr>
      <w:snapToGrid w:val="0"/>
    </w:pPr>
    <w:rPr>
      <w:rFonts w:ascii="Arial" w:hAnsi="Arial"/>
    </w:rPr>
  </w:style>
  <w:style w:type="paragraph" w:styleId="6">
    <w:name w:val="Plain Text"/>
    <w:basedOn w:val="1"/>
    <w:link w:val="25"/>
    <w:autoRedefine/>
    <w:unhideWhenUsed/>
    <w:qFormat/>
    <w:uiPriority w:val="0"/>
    <w:rPr>
      <w:rFonts w:hAnsi="Courier New" w:cs="Courier New" w:asciiTheme="minorEastAsia" w:eastAsiaTheme="minorEastAsia"/>
    </w:rPr>
  </w:style>
  <w:style w:type="paragraph" w:styleId="7">
    <w:name w:val="footer"/>
    <w:basedOn w:val="1"/>
    <w:link w:val="21"/>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8">
    <w:name w:val="header"/>
    <w:basedOn w:val="1"/>
    <w:link w:val="20"/>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9">
    <w:name w:val="toc 1"/>
    <w:basedOn w:val="1"/>
    <w:next w:val="1"/>
    <w:autoRedefine/>
    <w:unhideWhenUsed/>
    <w:qFormat/>
    <w:uiPriority w:val="39"/>
    <w:pPr>
      <w:widowControl w:val="0"/>
      <w:jc w:val="both"/>
    </w:pPr>
    <w:rPr>
      <w:rFonts w:ascii="Calibri" w:hAnsi="Calibri" w:cs="Times New Roman"/>
      <w:kern w:val="2"/>
      <w:sz w:val="21"/>
    </w:rPr>
  </w:style>
  <w:style w:type="paragraph" w:styleId="10">
    <w:name w:val="Normal (Web)"/>
    <w:basedOn w:val="1"/>
    <w:link w:val="26"/>
    <w:autoRedefine/>
    <w:unhideWhenUsed/>
    <w:qFormat/>
    <w:uiPriority w:val="0"/>
    <w:pPr>
      <w:spacing w:before="100" w:beforeAutospacing="1" w:after="100" w:afterAutospacing="1"/>
    </w:pPr>
  </w:style>
  <w:style w:type="paragraph" w:styleId="11">
    <w:name w:val="Body Text First Indent 2"/>
    <w:basedOn w:val="4"/>
    <w:qFormat/>
    <w:uiPriority w:val="0"/>
    <w:pPr>
      <w:ind w:left="420" w:firstLine="420" w:firstLineChars="200"/>
    </w:pPr>
    <w:rPr>
      <w:rFonts w:ascii="Times New Roman" w:eastAsia="宋?"/>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99"/>
    <w:rPr>
      <w:color w:val="800080"/>
      <w:u w:val="single"/>
    </w:rPr>
  </w:style>
  <w:style w:type="character" w:styleId="17">
    <w:name w:val="Hyperlink"/>
    <w:basedOn w:val="14"/>
    <w:autoRedefine/>
    <w:semiHidden/>
    <w:unhideWhenUsed/>
    <w:qFormat/>
    <w:uiPriority w:val="99"/>
    <w:rPr>
      <w:color w:val="0000FF"/>
      <w:u w:val="single"/>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0">
    <w:name w:val="页眉 字符"/>
    <w:basedOn w:val="14"/>
    <w:link w:val="8"/>
    <w:autoRedefine/>
    <w:qFormat/>
    <w:uiPriority w:val="99"/>
    <w:rPr>
      <w:rFonts w:ascii="Calibri" w:hAnsi="Calibri" w:eastAsia="宋体" w:cs="Times New Roman"/>
      <w:sz w:val="18"/>
      <w:szCs w:val="18"/>
    </w:rPr>
  </w:style>
  <w:style w:type="character" w:customStyle="1" w:styleId="21">
    <w:name w:val="页脚 字符"/>
    <w:basedOn w:val="14"/>
    <w:link w:val="7"/>
    <w:autoRedefine/>
    <w:qFormat/>
    <w:uiPriority w:val="99"/>
    <w:rPr>
      <w:rFonts w:ascii="Calibri" w:hAnsi="Calibri" w:eastAsia="宋体" w:cs="Times New Roman"/>
      <w:sz w:val="18"/>
      <w:szCs w:val="18"/>
    </w:rPr>
  </w:style>
  <w:style w:type="character" w:customStyle="1" w:styleId="22">
    <w:name w:val="apple-converted-space"/>
    <w:basedOn w:val="14"/>
    <w:autoRedefine/>
    <w:qFormat/>
    <w:uiPriority w:val="0"/>
  </w:style>
  <w:style w:type="paragraph" w:customStyle="1" w:styleId="23">
    <w:name w:val="样式3"/>
    <w:basedOn w:val="6"/>
    <w:link w:val="24"/>
    <w:autoRedefine/>
    <w:qFormat/>
    <w:uiPriority w:val="0"/>
    <w:pPr>
      <w:widowControl w:val="0"/>
      <w:spacing w:line="0" w:lineRule="atLeast"/>
      <w:jc w:val="both"/>
      <w:outlineLvl w:val="0"/>
    </w:pPr>
    <w:rPr>
      <w:rFonts w:ascii="宋体" w:eastAsia="宋体" w:cs="Times New Roman"/>
      <w:kern w:val="2"/>
      <w:sz w:val="28"/>
    </w:rPr>
  </w:style>
  <w:style w:type="character" w:customStyle="1" w:styleId="24">
    <w:name w:val="样式3 Char Char"/>
    <w:link w:val="23"/>
    <w:autoRedefine/>
    <w:qFormat/>
    <w:uiPriority w:val="0"/>
    <w:rPr>
      <w:rFonts w:ascii="宋体" w:hAnsi="Courier New" w:eastAsia="宋体" w:cs="Times New Roman"/>
      <w:sz w:val="28"/>
    </w:rPr>
  </w:style>
  <w:style w:type="character" w:customStyle="1" w:styleId="25">
    <w:name w:val="纯文本 字符"/>
    <w:basedOn w:val="14"/>
    <w:link w:val="6"/>
    <w:autoRedefine/>
    <w:semiHidden/>
    <w:qFormat/>
    <w:uiPriority w:val="99"/>
    <w:rPr>
      <w:rFonts w:hAnsi="Courier New" w:cs="Courier New" w:asciiTheme="minorEastAsia"/>
      <w:kern w:val="0"/>
      <w:sz w:val="24"/>
    </w:rPr>
  </w:style>
  <w:style w:type="character" w:customStyle="1" w:styleId="26">
    <w:name w:val="普通(网站) 字符"/>
    <w:link w:val="10"/>
    <w:autoRedefine/>
    <w:qFormat/>
    <w:uiPriority w:val="0"/>
    <w:rPr>
      <w:rFonts w:ascii="宋体" w:hAnsi="宋体" w:eastAsia="宋体" w:cs="宋体"/>
      <w:kern w:val="0"/>
      <w:sz w:val="24"/>
    </w:rPr>
  </w:style>
  <w:style w:type="paragraph" w:customStyle="1" w:styleId="27">
    <w:name w:val="msonormal"/>
    <w:basedOn w:val="1"/>
    <w:autoRedefine/>
    <w:qFormat/>
    <w:uiPriority w:val="0"/>
    <w:pPr>
      <w:spacing w:before="100" w:beforeAutospacing="1" w:after="100" w:afterAutospacing="1"/>
    </w:pPr>
  </w:style>
  <w:style w:type="paragraph" w:customStyle="1" w:styleId="28">
    <w:name w:val="font5"/>
    <w:basedOn w:val="1"/>
    <w:autoRedefine/>
    <w:qFormat/>
    <w:uiPriority w:val="0"/>
    <w:pPr>
      <w:spacing w:before="100" w:beforeAutospacing="1" w:after="100" w:afterAutospacing="1"/>
    </w:pPr>
    <w:rPr>
      <w:sz w:val="18"/>
      <w:szCs w:val="18"/>
    </w:rPr>
  </w:style>
  <w:style w:type="paragraph" w:customStyle="1" w:styleId="29">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4">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6">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0">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1">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3">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4">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5">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6">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9">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0">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3">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4">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5">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6">
    <w:name w:val="xl94"/>
    <w:basedOn w:val="1"/>
    <w:autoRedefine/>
    <w:qFormat/>
    <w:uiPriority w:val="0"/>
    <w:pPr>
      <w:spacing w:before="100" w:beforeAutospacing="1" w:after="100" w:afterAutospacing="1"/>
      <w:jc w:val="center"/>
    </w:pPr>
  </w:style>
  <w:style w:type="paragraph" w:customStyle="1" w:styleId="57">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8">
    <w:name w:val="xl96"/>
    <w:basedOn w:val="1"/>
    <w:autoRedefine/>
    <w:qFormat/>
    <w:uiPriority w:val="0"/>
    <w:pPr>
      <w:spacing w:before="100" w:beforeAutospacing="1" w:after="100" w:afterAutospacing="1"/>
    </w:pPr>
    <w:rPr>
      <w:b/>
      <w:bCs/>
      <w:sz w:val="32"/>
      <w:szCs w:val="32"/>
    </w:rPr>
  </w:style>
  <w:style w:type="paragraph" w:customStyle="1" w:styleId="59">
    <w:name w:val="xl97"/>
    <w:basedOn w:val="1"/>
    <w:autoRedefine/>
    <w:qFormat/>
    <w:uiPriority w:val="0"/>
    <w:pPr>
      <w:spacing w:before="100" w:beforeAutospacing="1" w:after="100" w:afterAutospacing="1"/>
      <w:jc w:val="center"/>
    </w:pPr>
    <w:rPr>
      <w:b/>
      <w:bCs/>
      <w:sz w:val="32"/>
      <w:szCs w:val="32"/>
    </w:rPr>
  </w:style>
  <w:style w:type="paragraph" w:customStyle="1" w:styleId="60">
    <w:name w:val="xl98"/>
    <w:basedOn w:val="1"/>
    <w:autoRedefine/>
    <w:qFormat/>
    <w:uiPriority w:val="0"/>
    <w:pPr>
      <w:spacing w:before="100" w:beforeAutospacing="1" w:after="100" w:afterAutospacing="1"/>
      <w:jc w:val="center"/>
    </w:pPr>
  </w:style>
  <w:style w:type="paragraph" w:customStyle="1" w:styleId="61">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2">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列出段落11"/>
    <w:basedOn w:val="1"/>
    <w:autoRedefine/>
    <w:qFormat/>
    <w:uiPriority w:val="0"/>
    <w:pPr>
      <w:ind w:firstLine="420" w:firstLineChars="200"/>
    </w:pPr>
    <w:rPr>
      <w:rFonts w:ascii="Calibri" w:hAnsi="Calibri" w:cs="Times New Roman"/>
    </w:rPr>
  </w:style>
  <w:style w:type="table" w:customStyle="1" w:styleId="65">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5372</Words>
  <Characters>5862</Characters>
  <Lines>30</Lines>
  <Paragraphs>8</Paragraphs>
  <TotalTime>15</TotalTime>
  <ScaleCrop>false</ScaleCrop>
  <LinksUpToDate>false</LinksUpToDate>
  <CharactersWithSpaces>6852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周洁❄️</cp:lastModifiedBy>
  <cp:lastPrinted>2020-07-09T03:08:00Z</cp:lastPrinted>
  <dcterms:modified xsi:type="dcterms:W3CDTF">2026-01-20T08:36:29Z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5A823A2757F5418493B5C33C13382267_13</vt:lpwstr>
  </property>
  <property fmtid="{D5CDD505-2E9C-101B-9397-08002B2CF9AE}" pid="4" name="KSOTemplateDocerSaveRecord">
    <vt:lpwstr>eyJoZGlkIjoiOTAxYTBiNjkwYWQ4Njk5YzJkYmQxZWI3NjgwZDMwMjIiLCJ1c2VySWQiOiIyMTkyOTE1NDcifQ==</vt:lpwstr>
  </property>
</Properties>
</file>