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常州仲裁委员会办公室办公室办公设施搬运服务项目竞价公告</w:t>
      </w:r>
    </w:p>
    <w:p>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Pr>
          <w:rFonts w:hint="eastAsia"/>
          <w:b/>
          <w:spacing w:val="79"/>
          <w:kern w:val="13"/>
          <w:sz w:val="28"/>
          <w:szCs w:val="28"/>
        </w:rPr>
        <w:t>YT-SZ2024017</w:t>
      </w:r>
    </w:p>
    <w:p>
      <w:pPr>
        <w:spacing w:line="360" w:lineRule="auto"/>
        <w:ind w:firstLine="480" w:firstLineChars="200"/>
        <w:jc w:val="both"/>
      </w:pPr>
      <w:r>
        <w:rPr>
          <w:rFonts w:hint="eastAsia"/>
        </w:rPr>
        <w:t>常州盈泰招标有限公司受</w:t>
      </w:r>
      <w:r>
        <w:rPr>
          <w:rFonts w:hint="eastAsia"/>
          <w:b/>
        </w:rPr>
        <w:t>常州仲裁委员会办公室</w:t>
      </w:r>
      <w:r>
        <w:rPr>
          <w:rFonts w:hint="eastAsia"/>
        </w:rPr>
        <w:t>的委托，现就</w:t>
      </w:r>
      <w:r>
        <w:rPr>
          <w:rFonts w:hint="eastAsia"/>
          <w:b/>
        </w:rPr>
        <w:t>办公室办公设施搬运服务项目</w:t>
      </w:r>
      <w:r>
        <w:rPr>
          <w:rFonts w:hint="eastAsia"/>
        </w:rPr>
        <w:t>进行电子竞价，有关事项公告如下：</w:t>
      </w:r>
    </w:p>
    <w:p>
      <w:pPr>
        <w:spacing w:line="360" w:lineRule="auto"/>
        <w:ind w:firstLine="482" w:firstLineChars="200"/>
        <w:jc w:val="both"/>
        <w:rPr>
          <w:b/>
          <w:bCs/>
        </w:rPr>
      </w:pPr>
      <w:r>
        <w:rPr>
          <w:rFonts w:hint="eastAsia"/>
          <w:b/>
          <w:bCs/>
        </w:rPr>
        <w:t>一、项目名称：</w:t>
      </w:r>
      <w:r>
        <w:rPr>
          <w:rFonts w:hint="eastAsia"/>
          <w:b/>
        </w:rPr>
        <w:t>办公室办公设施搬运服务项目</w:t>
      </w:r>
    </w:p>
    <w:p>
      <w:pPr>
        <w:spacing w:line="360" w:lineRule="auto"/>
        <w:ind w:firstLine="482" w:firstLineChars="200"/>
        <w:jc w:val="both"/>
        <w:rPr>
          <w:b/>
          <w:bCs/>
        </w:rPr>
      </w:pPr>
      <w:r>
        <w:rPr>
          <w:rFonts w:hint="eastAsia"/>
          <w:b/>
          <w:bCs/>
        </w:rPr>
        <w:t>二、项目编号：YT-SZ2024017</w:t>
      </w:r>
    </w:p>
    <w:p>
      <w:pPr>
        <w:spacing w:line="360" w:lineRule="auto"/>
        <w:ind w:firstLine="482" w:firstLineChars="200"/>
        <w:jc w:val="both"/>
        <w:rPr>
          <w:b/>
          <w:bCs/>
        </w:rPr>
      </w:pPr>
      <w:r>
        <w:rPr>
          <w:rFonts w:hint="eastAsia"/>
          <w:b/>
          <w:bCs/>
        </w:rPr>
        <w:t>三、项目预算及最高限价：人民币</w:t>
      </w:r>
      <w:bookmarkStart w:id="0" w:name="OLE_LINK14"/>
      <w:bookmarkStart w:id="1" w:name="OLE_LINK13"/>
      <w:r>
        <w:rPr>
          <w:rFonts w:hint="eastAsia"/>
          <w:b/>
          <w:bCs/>
        </w:rPr>
        <w:t xml:space="preserve"> 6.5万元</w:t>
      </w:r>
      <w:bookmarkEnd w:id="0"/>
      <w:bookmarkEnd w:id="1"/>
    </w:p>
    <w:p>
      <w:pPr>
        <w:spacing w:line="360" w:lineRule="auto"/>
        <w:ind w:firstLine="482" w:firstLineChars="200"/>
        <w:jc w:val="both"/>
        <w:rPr>
          <w:b/>
          <w:bCs/>
        </w:rPr>
      </w:pPr>
      <w:r>
        <w:rPr>
          <w:rFonts w:hint="eastAsia"/>
          <w:b/>
          <w:bCs/>
        </w:rPr>
        <w:t>四、项目需求：</w:t>
      </w:r>
    </w:p>
    <w:p>
      <w:pPr>
        <w:spacing w:line="360" w:lineRule="auto"/>
        <w:ind w:firstLine="482" w:firstLineChars="200"/>
        <w:jc w:val="both"/>
        <w:rPr>
          <w:b/>
          <w:bCs/>
        </w:rPr>
      </w:pPr>
      <w:r>
        <w:rPr>
          <w:rFonts w:hint="eastAsia"/>
          <w:b/>
          <w:bCs/>
        </w:rPr>
        <w:t>（一）项目概况</w:t>
      </w:r>
    </w:p>
    <w:p>
      <w:pPr>
        <w:spacing w:line="360" w:lineRule="auto"/>
        <w:ind w:firstLine="480" w:firstLineChars="200"/>
        <w:jc w:val="both"/>
      </w:pPr>
      <w:r>
        <w:rPr>
          <w:rFonts w:hint="eastAsia"/>
        </w:rPr>
        <w:t>本项目为常州仲裁委员会办公室办公设施搬运服务项目，常州仲裁委员会办公室因办公用房搬迁需将现有办公设施全部搬迁至新址，涉及立案区、庭审区、办公区、仓库区等区域，包含办公家具、计算机、文印设备、会议设备、文件柜架、档案文件等资产，为确保搬迁工作顺利完成，特委托专业的搬家服务公司协助采购方搬迁。</w:t>
      </w:r>
    </w:p>
    <w:p>
      <w:pPr>
        <w:spacing w:line="360" w:lineRule="auto"/>
        <w:ind w:firstLine="482" w:firstLineChars="200"/>
        <w:jc w:val="both"/>
        <w:rPr>
          <w:b/>
          <w:bCs/>
        </w:rPr>
      </w:pPr>
      <w:r>
        <w:rPr>
          <w:rFonts w:hint="eastAsia"/>
          <w:b/>
          <w:bCs/>
        </w:rPr>
        <w:t xml:space="preserve">（二）项目内容及注意事项 </w:t>
      </w:r>
    </w:p>
    <w:p>
      <w:pPr>
        <w:spacing w:line="360" w:lineRule="auto"/>
        <w:ind w:firstLine="482" w:firstLineChars="200"/>
        <w:jc w:val="both"/>
        <w:rPr>
          <w:b/>
          <w:bCs/>
        </w:rPr>
      </w:pPr>
      <w:r>
        <w:rPr>
          <w:rFonts w:hint="eastAsia"/>
          <w:b/>
          <w:bCs/>
        </w:rPr>
        <w:t>1. 项目内容：</w:t>
      </w:r>
    </w:p>
    <w:p>
      <w:pPr>
        <w:spacing w:line="360" w:lineRule="auto"/>
        <w:ind w:firstLine="482" w:firstLineChars="200"/>
        <w:jc w:val="center"/>
        <w:rPr>
          <w:b/>
          <w:bCs/>
        </w:rPr>
      </w:pPr>
      <w:r>
        <w:rPr>
          <w:rFonts w:hint="eastAsia"/>
          <w:b/>
          <w:bCs/>
        </w:rPr>
        <w:t>搬迁资产总表</w:t>
      </w:r>
    </w:p>
    <w:tbl>
      <w:tblPr>
        <w:tblStyle w:val="8"/>
        <w:tblW w:w="8506" w:type="dxa"/>
        <w:jc w:val="center"/>
        <w:tblLayout w:type="fixed"/>
        <w:tblCellMar>
          <w:top w:w="0" w:type="dxa"/>
          <w:left w:w="108" w:type="dxa"/>
          <w:bottom w:w="0" w:type="dxa"/>
          <w:right w:w="108" w:type="dxa"/>
        </w:tblCellMar>
      </w:tblPr>
      <w:tblGrid>
        <w:gridCol w:w="1406"/>
        <w:gridCol w:w="5294"/>
        <w:gridCol w:w="1806"/>
      </w:tblGrid>
      <w:tr>
        <w:tblPrEx>
          <w:tblCellMar>
            <w:top w:w="0" w:type="dxa"/>
            <w:left w:w="108" w:type="dxa"/>
            <w:bottom w:w="0" w:type="dxa"/>
            <w:right w:w="108" w:type="dxa"/>
          </w:tblCellMar>
        </w:tblPrEx>
        <w:trPr>
          <w:trHeight w:val="540"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rPr>
            </w:pPr>
            <w:r>
              <w:rPr>
                <w:rFonts w:hint="eastAsia"/>
                <w:b/>
                <w:bCs/>
                <w:color w:val="000000"/>
                <w:lang w:bidi="ar"/>
              </w:rPr>
              <w:t>序号</w:t>
            </w:r>
          </w:p>
        </w:tc>
        <w:tc>
          <w:tcPr>
            <w:tcW w:w="5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b/>
                <w:bCs/>
                <w:color w:val="000000"/>
              </w:rPr>
            </w:pPr>
            <w:r>
              <w:rPr>
                <w:rFonts w:ascii="Arial" w:hAnsi="Arial" w:cs="Arial"/>
                <w:b/>
                <w:bCs/>
                <w:color w:val="000000"/>
                <w:lang w:bidi="ar"/>
              </w:rPr>
              <w:t>资产名称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b/>
                <w:bCs/>
                <w:color w:val="000000"/>
              </w:rPr>
            </w:pPr>
            <w:r>
              <w:rPr>
                <w:rFonts w:ascii="Arial" w:hAnsi="Arial" w:cs="Arial"/>
                <w:b/>
                <w:bCs/>
                <w:color w:val="000000"/>
                <w:lang w:bidi="ar"/>
              </w:rPr>
              <w:t>数量</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rPr>
              <w:t>1</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扫描仪</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rPr>
              <w:t>2</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文印一体机</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rPr>
              <w:t>3</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文印装订一体机</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rPr>
              <w:t>4</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庭审机柜组</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rPr>
              <w:t>5</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除湿器</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rPr>
              <w:t>6</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办公桌</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34</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rPr>
              <w:t>7</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电脑桌</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9</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rPr>
              <w:t>8</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报告厅办公桌</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40</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9</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小茶几</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9</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10</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大茶几</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25</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11</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会议桌</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6</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12</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条桌</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6</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14</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主席台</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6</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15</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审判桌</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16</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办公椅</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300</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17</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三人沙发</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28</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18</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单人沙发</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13</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19</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五门书橱</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1</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20</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文件柜</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26</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21</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组合柜</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17</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22</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桌边柜</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10</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23</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保险柜</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1</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24</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茶水柜</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15</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25</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储物柜</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1</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26</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衣橱</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2</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27</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档案柜</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lang w:bidi="ar"/>
              </w:rPr>
            </w:pPr>
            <w:r>
              <w:rPr>
                <w:rFonts w:hint="eastAsia"/>
                <w:color w:val="000000"/>
                <w:lang w:bidi="ar"/>
              </w:rPr>
              <w:t>345</w:t>
            </w:r>
          </w:p>
        </w:tc>
      </w:tr>
      <w:tr>
        <w:tblPrEx>
          <w:tblCellMar>
            <w:top w:w="0" w:type="dxa"/>
            <w:left w:w="108" w:type="dxa"/>
            <w:bottom w:w="0" w:type="dxa"/>
            <w:right w:w="108" w:type="dxa"/>
          </w:tblCellMar>
        </w:tblPrEx>
        <w:trPr>
          <w:trHeight w:val="402"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28</w:t>
            </w:r>
          </w:p>
        </w:tc>
        <w:tc>
          <w:tcPr>
            <w:tcW w:w="5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资料文件</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rPr>
            </w:pPr>
            <w:r>
              <w:rPr>
                <w:rFonts w:hint="eastAsia"/>
                <w:color w:val="000000"/>
                <w:lang w:bidi="ar"/>
              </w:rPr>
              <w:t>若干</w:t>
            </w:r>
          </w:p>
        </w:tc>
      </w:tr>
    </w:tbl>
    <w:p>
      <w:pPr>
        <w:spacing w:line="360" w:lineRule="auto"/>
        <w:ind w:firstLine="482" w:firstLineChars="200"/>
        <w:jc w:val="both"/>
      </w:pPr>
      <w:r>
        <w:rPr>
          <w:rFonts w:hint="eastAsia"/>
          <w:b/>
          <w:bCs/>
        </w:rPr>
        <w:t>2. 搬运地点：</w:t>
      </w:r>
      <w:r>
        <w:rPr>
          <w:rFonts w:hint="eastAsia"/>
        </w:rPr>
        <w:t>自常州市劳动中路218号搬运至常州市金融商务广场6号楼5-6层。</w:t>
      </w:r>
    </w:p>
    <w:p>
      <w:pPr>
        <w:spacing w:line="360" w:lineRule="auto"/>
        <w:ind w:firstLine="482" w:firstLineChars="200"/>
        <w:jc w:val="both"/>
      </w:pPr>
      <w:r>
        <w:rPr>
          <w:rFonts w:hint="eastAsia"/>
          <w:b/>
          <w:bCs/>
        </w:rPr>
        <w:t>3. 搬运时间：</w:t>
      </w:r>
      <w:r>
        <w:rPr>
          <w:rFonts w:hint="eastAsia"/>
        </w:rPr>
        <w:t>分2批次集中搬运，并于</w:t>
      </w:r>
      <w:r>
        <w:t>2024年8月18日前完成，具体搬迁进度按</w:t>
      </w:r>
      <w:r>
        <w:rPr>
          <w:rFonts w:hint="eastAsia"/>
        </w:rPr>
        <w:t>采购人</w:t>
      </w:r>
      <w:r>
        <w:t>要求执行</w:t>
      </w:r>
      <w:r>
        <w:rPr>
          <w:rFonts w:hint="eastAsia"/>
        </w:rPr>
        <w:t>。</w:t>
      </w:r>
    </w:p>
    <w:p>
      <w:pPr>
        <w:spacing w:line="360" w:lineRule="auto"/>
        <w:ind w:firstLine="482" w:firstLineChars="200"/>
        <w:jc w:val="both"/>
        <w:rPr>
          <w:b/>
          <w:bCs/>
        </w:rPr>
      </w:pPr>
      <w:r>
        <w:rPr>
          <w:rFonts w:hint="eastAsia"/>
          <w:b/>
          <w:bCs/>
        </w:rPr>
        <w:t>4. 清单注意事项</w:t>
      </w:r>
    </w:p>
    <w:p>
      <w:pPr>
        <w:spacing w:line="360" w:lineRule="auto"/>
        <w:ind w:firstLine="480" w:firstLineChars="200"/>
        <w:jc w:val="both"/>
      </w:pPr>
      <w:r>
        <w:rPr>
          <w:rFonts w:hint="eastAsia"/>
        </w:rPr>
        <w:t>（1）本项目为总价包干，采购人提供的搬运内容数量可能与现场存在一定误差，若超出搬运内容，结算价格不做调整。请供应商自行踏勘、充分考虑各种影响报价的风险因素（包含但不限于上述因素），慎重报价。</w:t>
      </w:r>
    </w:p>
    <w:p>
      <w:pPr>
        <w:spacing w:line="360" w:lineRule="auto"/>
        <w:ind w:firstLine="480" w:firstLineChars="200"/>
        <w:jc w:val="both"/>
      </w:pPr>
      <w:r>
        <w:rPr>
          <w:rFonts w:hint="eastAsia"/>
        </w:rPr>
        <w:t>（2）搬迁物资、设备的位置以采购人搬迁时现场要求为准。</w:t>
      </w:r>
    </w:p>
    <w:p>
      <w:pPr>
        <w:spacing w:line="360" w:lineRule="auto"/>
        <w:ind w:firstLine="480" w:firstLineChars="200"/>
        <w:jc w:val="both"/>
      </w:pPr>
      <w:r>
        <w:rPr>
          <w:rFonts w:hint="eastAsia"/>
        </w:rPr>
        <w:t>（3）搬出、搬入现场是否有电梯及电梯是否可用，请供应商现场实际踏勘。</w:t>
      </w:r>
    </w:p>
    <w:p>
      <w:pPr>
        <w:spacing w:line="360" w:lineRule="auto"/>
        <w:ind w:firstLine="480" w:firstLineChars="200"/>
        <w:jc w:val="both"/>
      </w:pPr>
      <w:r>
        <w:rPr>
          <w:rFonts w:hint="eastAsia"/>
        </w:rPr>
        <w:t>（4）搬迁内容中凡未注明数量、规格、位置的设备、物资等，一律以采购人搬迁现场实际和搬迁时的现场要求为准。</w:t>
      </w:r>
    </w:p>
    <w:p>
      <w:pPr>
        <w:spacing w:line="360" w:lineRule="auto"/>
        <w:ind w:firstLine="480" w:firstLineChars="200"/>
        <w:jc w:val="both"/>
      </w:pPr>
      <w:r>
        <w:rPr>
          <w:rFonts w:hint="eastAsia"/>
        </w:rPr>
        <w:t>5. 按不同搬迁要求，资产、设备等按下表分类。</w:t>
      </w:r>
    </w:p>
    <w:p>
      <w:pPr>
        <w:autoSpaceDE w:val="0"/>
        <w:autoSpaceDN w:val="0"/>
        <w:spacing w:line="480" w:lineRule="auto"/>
        <w:ind w:firstLine="482"/>
        <w:jc w:val="center"/>
        <w:rPr>
          <w:rFonts w:cs="仿宋_GB2312"/>
          <w:b/>
          <w:lang w:val="zh-CN"/>
        </w:rPr>
      </w:pPr>
      <w:r>
        <w:rPr>
          <w:rFonts w:hint="eastAsia" w:cs="仿宋_GB2312"/>
          <w:b/>
          <w:lang w:val="zh-CN"/>
        </w:rPr>
        <w:t>资产、设备分类表</w:t>
      </w:r>
    </w:p>
    <w:tbl>
      <w:tblPr>
        <w:tblStyle w:val="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8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Align w:val="center"/>
          </w:tcPr>
          <w:p>
            <w:pPr>
              <w:snapToGrid w:val="0"/>
              <w:spacing w:line="360" w:lineRule="auto"/>
              <w:jc w:val="center"/>
              <w:rPr>
                <w:rFonts w:cs="仿宋_GB2312"/>
                <w:b/>
              </w:rPr>
            </w:pPr>
            <w:r>
              <w:rPr>
                <w:rFonts w:hint="eastAsia" w:cs="仿宋_GB2312"/>
                <w:b/>
              </w:rPr>
              <w:t>类别</w:t>
            </w:r>
          </w:p>
        </w:tc>
        <w:tc>
          <w:tcPr>
            <w:tcW w:w="8142" w:type="dxa"/>
            <w:vAlign w:val="center"/>
          </w:tcPr>
          <w:p>
            <w:pPr>
              <w:snapToGrid w:val="0"/>
              <w:spacing w:line="360" w:lineRule="auto"/>
              <w:ind w:firstLine="482"/>
              <w:jc w:val="center"/>
              <w:rPr>
                <w:rFonts w:cs="仿宋_GB2312"/>
                <w:b/>
              </w:rPr>
            </w:pPr>
            <w:r>
              <w:rPr>
                <w:rFonts w:hint="eastAsia" w:cs="仿宋_GB2312"/>
                <w:b/>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9" w:type="dxa"/>
            <w:vAlign w:val="center"/>
          </w:tcPr>
          <w:p>
            <w:pPr>
              <w:snapToGrid w:val="0"/>
              <w:spacing w:line="360" w:lineRule="auto"/>
              <w:jc w:val="center"/>
            </w:pPr>
            <w:r>
              <w:rPr>
                <w:rFonts w:hint="eastAsia"/>
                <w:lang w:val="zh-CN"/>
              </w:rPr>
              <w:t>办公家具类</w:t>
            </w:r>
          </w:p>
        </w:tc>
        <w:tc>
          <w:tcPr>
            <w:tcW w:w="8142" w:type="dxa"/>
            <w:vAlign w:val="center"/>
          </w:tcPr>
          <w:p>
            <w:pPr>
              <w:snapToGrid w:val="0"/>
              <w:spacing w:line="360" w:lineRule="auto"/>
              <w:rPr>
                <w:lang w:val="zh-CN"/>
              </w:rPr>
            </w:pPr>
            <w:r>
              <w:rPr>
                <w:rFonts w:hint="eastAsia"/>
              </w:rPr>
              <w:t>需安排专业专人拆卸、组装，除拆卸、安装外，拆卸前需进行测试，由采购人、成交供应商双方共同确认家具原有性能、外观。搬迁到位组装调试完成后，由采购人、成交供应商共同确认搬迁后的家具具有原有性能、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Align w:val="center"/>
          </w:tcPr>
          <w:p>
            <w:pPr>
              <w:snapToGrid w:val="0"/>
              <w:spacing w:line="360" w:lineRule="auto"/>
              <w:jc w:val="center"/>
            </w:pPr>
            <w:r>
              <w:rPr>
                <w:rFonts w:hint="eastAsia"/>
                <w:lang w:val="zh-CN"/>
              </w:rPr>
              <w:t>办公电子设备类</w:t>
            </w:r>
          </w:p>
        </w:tc>
        <w:tc>
          <w:tcPr>
            <w:tcW w:w="8142" w:type="dxa"/>
            <w:vAlign w:val="center"/>
          </w:tcPr>
          <w:p>
            <w:pPr>
              <w:snapToGrid w:val="0"/>
              <w:spacing w:line="360" w:lineRule="auto"/>
            </w:pPr>
            <w:r>
              <w:rPr>
                <w:rFonts w:hint="eastAsia"/>
              </w:rPr>
              <w:t>设备搬迁前、后仅需要通电（或不通电）测试，即可正常工作的仪器及设备，由采购人、成交供应商两方共同确认搬迁后的仪器设备性能不低于拆机前的技术性能即可。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Align w:val="center"/>
          </w:tcPr>
          <w:p>
            <w:pPr>
              <w:snapToGrid w:val="0"/>
              <w:spacing w:line="360" w:lineRule="auto"/>
              <w:jc w:val="center"/>
            </w:pPr>
            <w:r>
              <w:rPr>
                <w:rFonts w:hint="eastAsia"/>
                <w:lang w:val="zh-CN"/>
              </w:rPr>
              <w:t>文件档案类</w:t>
            </w:r>
          </w:p>
        </w:tc>
        <w:tc>
          <w:tcPr>
            <w:tcW w:w="8142" w:type="dxa"/>
            <w:vAlign w:val="center"/>
          </w:tcPr>
          <w:p>
            <w:pPr>
              <w:snapToGrid w:val="0"/>
              <w:spacing w:line="360" w:lineRule="auto"/>
              <w:rPr>
                <w:lang w:val="zh-CN"/>
              </w:rPr>
            </w:pPr>
            <w:r>
              <w:rPr>
                <w:rFonts w:hint="eastAsia"/>
                <w:lang w:val="zh-CN"/>
              </w:rPr>
              <w:t>搬迁过程中按采购人指定的储藏柜、储藏箱为单件进行搬迁，搬迁过程中单件不打开、不倾倒，保证柜箱内文件完好、整齐，搬迁后位置需按照采购人要求按顺序放置。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49" w:type="dxa"/>
            <w:vAlign w:val="center"/>
          </w:tcPr>
          <w:p>
            <w:pPr>
              <w:snapToGrid w:val="0"/>
              <w:spacing w:line="360" w:lineRule="auto"/>
              <w:jc w:val="center"/>
            </w:pPr>
            <w:r>
              <w:rPr>
                <w:rFonts w:hint="eastAsia"/>
              </w:rPr>
              <w:t>其他类</w:t>
            </w:r>
          </w:p>
        </w:tc>
        <w:tc>
          <w:tcPr>
            <w:tcW w:w="8142" w:type="dxa"/>
            <w:vAlign w:val="center"/>
          </w:tcPr>
          <w:p>
            <w:pPr>
              <w:snapToGrid w:val="0"/>
              <w:spacing w:line="360" w:lineRule="auto"/>
            </w:pPr>
            <w:r>
              <w:rPr>
                <w:rFonts w:hint="eastAsia"/>
              </w:rPr>
              <w:t>其他设备、设施等</w:t>
            </w:r>
          </w:p>
        </w:tc>
      </w:tr>
    </w:tbl>
    <w:p>
      <w:pPr>
        <w:spacing w:line="360" w:lineRule="auto"/>
        <w:ind w:firstLine="482" w:firstLineChars="200"/>
        <w:jc w:val="both"/>
        <w:rPr>
          <w:b/>
          <w:bCs/>
        </w:rPr>
      </w:pPr>
      <w:r>
        <w:rPr>
          <w:rFonts w:hint="eastAsia"/>
          <w:b/>
          <w:bCs/>
        </w:rPr>
        <w:t>（三）服务要求</w:t>
      </w:r>
    </w:p>
    <w:p>
      <w:pPr>
        <w:spacing w:line="360" w:lineRule="auto"/>
        <w:ind w:firstLine="482" w:firstLineChars="200"/>
        <w:jc w:val="both"/>
        <w:rPr>
          <w:b/>
          <w:bCs/>
        </w:rPr>
      </w:pPr>
      <w:r>
        <w:rPr>
          <w:rFonts w:hint="eastAsia"/>
          <w:b/>
          <w:bCs/>
        </w:rPr>
        <w:t>（A）基本要求</w:t>
      </w:r>
    </w:p>
    <w:p>
      <w:pPr>
        <w:spacing w:line="360" w:lineRule="auto"/>
        <w:ind w:firstLine="480" w:firstLineChars="200"/>
        <w:jc w:val="both"/>
      </w:pPr>
      <w:r>
        <w:rPr>
          <w:rFonts w:hint="eastAsia"/>
        </w:rPr>
        <w:t>1. 安全和法律要求</w:t>
      </w:r>
    </w:p>
    <w:p>
      <w:pPr>
        <w:spacing w:line="360" w:lineRule="auto"/>
        <w:ind w:firstLine="480" w:firstLineChars="200"/>
        <w:jc w:val="both"/>
      </w:pPr>
      <w:r>
        <w:rPr>
          <w:rFonts w:hint="eastAsia"/>
        </w:rPr>
        <w:t>（1）在保证采购人正常工作秩序的基础上，做到文明搬运。</w:t>
      </w:r>
    </w:p>
    <w:p>
      <w:pPr>
        <w:spacing w:line="360" w:lineRule="auto"/>
        <w:ind w:firstLine="480" w:firstLineChars="200"/>
        <w:jc w:val="both"/>
      </w:pPr>
      <w:r>
        <w:rPr>
          <w:rFonts w:hint="eastAsia"/>
        </w:rPr>
        <w:t>（2）在搬运过程中，不得对服务区域以内的建筑及设施造成破坏和影响。搬运服务过程中，要采取有效的防护、安全措施。</w:t>
      </w:r>
    </w:p>
    <w:p>
      <w:pPr>
        <w:spacing w:line="360" w:lineRule="auto"/>
        <w:ind w:firstLine="480" w:firstLineChars="200"/>
        <w:jc w:val="both"/>
      </w:pPr>
      <w:r>
        <w:rPr>
          <w:rFonts w:hint="eastAsia"/>
        </w:rPr>
        <w:t>（3）成交供应商要教育服务人员提高防火、防盗意识，安全文明服务；教育服务人员严格遵守采购人的规章制度。</w:t>
      </w:r>
    </w:p>
    <w:p>
      <w:pPr>
        <w:spacing w:line="360" w:lineRule="auto"/>
        <w:ind w:firstLine="480" w:firstLineChars="200"/>
        <w:jc w:val="both"/>
      </w:pPr>
      <w:r>
        <w:rPr>
          <w:rFonts w:hint="eastAsia"/>
        </w:rPr>
        <w:t>（4）成交供应商应严格遵守包括《中华人民共和国劳动法》在内的相关法律法规，确保搬迁项目实施全程合法合规。成交供应商及服务人员产生的违规违法行为，采购人不承担任何责任。</w:t>
      </w:r>
    </w:p>
    <w:p>
      <w:pPr>
        <w:spacing w:line="360" w:lineRule="auto"/>
        <w:ind w:firstLine="480" w:firstLineChars="200"/>
        <w:jc w:val="both"/>
      </w:pPr>
      <w:r>
        <w:rPr>
          <w:rFonts w:hint="eastAsia"/>
        </w:rPr>
        <w:t>2.搬运服务要求</w:t>
      </w:r>
    </w:p>
    <w:p>
      <w:pPr>
        <w:spacing w:line="360" w:lineRule="auto"/>
        <w:ind w:firstLine="480" w:firstLineChars="200"/>
        <w:jc w:val="both"/>
      </w:pPr>
      <w:r>
        <w:rPr>
          <w:rFonts w:hint="eastAsia"/>
        </w:rPr>
        <w:t>（1）满足采购人搬运要求，供应商至采购人原址及新址现场进行踏勘。供应商应在充分踏勘现场的基础上进行报价，成交后，不得以不完全了解现场情况为理由而向采购人提出任何索赔或其他要求，对此采购人不承担任何责任。</w:t>
      </w:r>
    </w:p>
    <w:p>
      <w:pPr>
        <w:spacing w:line="360" w:lineRule="auto"/>
        <w:ind w:firstLine="480" w:firstLineChars="200"/>
        <w:jc w:val="both"/>
      </w:pPr>
      <w:r>
        <w:rPr>
          <w:rFonts w:hint="eastAsia"/>
        </w:rPr>
        <w:t>（2）供应商需对按照项目的实际情况及采购人实际需要，编制科学可行的搬迁方案、路线安排、实施方案、实施计划、应急处置方案等。</w:t>
      </w:r>
    </w:p>
    <w:p>
      <w:pPr>
        <w:spacing w:line="360" w:lineRule="auto"/>
        <w:ind w:firstLine="480" w:firstLineChars="200"/>
        <w:jc w:val="both"/>
      </w:pPr>
      <w:r>
        <w:rPr>
          <w:rFonts w:hint="eastAsia"/>
        </w:rPr>
        <w:t>（3）供应商成交后应配合采购人完成各项搬运信息统计工作，包括各设备名称、数量等，制定搬迁的先后顺序和详细的搬迁方案提交采购人审核，审核通过后方可实施搬迁。</w:t>
      </w:r>
    </w:p>
    <w:p>
      <w:pPr>
        <w:spacing w:line="360" w:lineRule="auto"/>
        <w:ind w:firstLine="480" w:firstLineChars="200"/>
        <w:jc w:val="both"/>
      </w:pPr>
      <w:r>
        <w:rPr>
          <w:rFonts w:hint="eastAsia"/>
        </w:rPr>
        <w:t>（4）具有风险承担能力，有紧急风险预案。</w:t>
      </w:r>
    </w:p>
    <w:p>
      <w:pPr>
        <w:spacing w:line="360" w:lineRule="auto"/>
        <w:ind w:firstLine="480" w:firstLineChars="200"/>
        <w:jc w:val="both"/>
      </w:pPr>
      <w:r>
        <w:rPr>
          <w:rFonts w:hint="eastAsia"/>
        </w:rPr>
        <w:t>（5）采购人有权利、有可能调整车辆作业地点和时间，供应商应无条件地配合采购人安排，如搬运时间较长时，供应商需合理调配司机、车辆和人员，以确保顺利完成。</w:t>
      </w:r>
    </w:p>
    <w:p>
      <w:pPr>
        <w:spacing w:line="360" w:lineRule="auto"/>
        <w:ind w:firstLine="480" w:firstLineChars="200"/>
        <w:jc w:val="both"/>
      </w:pPr>
      <w:r>
        <w:rPr>
          <w:rFonts w:hint="eastAsia"/>
        </w:rPr>
        <w:t>3.服务人员要求</w:t>
      </w:r>
    </w:p>
    <w:p>
      <w:pPr>
        <w:spacing w:line="360" w:lineRule="auto"/>
        <w:ind w:firstLine="480" w:firstLineChars="200"/>
        <w:jc w:val="both"/>
      </w:pPr>
      <w:r>
        <w:rPr>
          <w:rFonts w:hint="eastAsia"/>
        </w:rPr>
        <w:t>★（1）供应商须为本项目配备一个搬迁服务团队：拟派项目负责人（1人），负责与采购人指定的对接人对接；拟派管理人员不低于3人（至少2个人驻场），负责搬运工作协调指挥及安全管理工作，与采购人现场人员共同负责查验装卸物品。（响应文件中提供拟投入本项目人员表，表中须包含但不限于性别、年龄、岗位职责等，否则作无效响应处理。）</w:t>
      </w:r>
    </w:p>
    <w:p>
      <w:pPr>
        <w:spacing w:line="360" w:lineRule="auto"/>
        <w:ind w:firstLine="480" w:firstLineChars="200"/>
        <w:jc w:val="both"/>
      </w:pPr>
      <w:r>
        <w:rPr>
          <w:rFonts w:hint="eastAsia"/>
        </w:rPr>
        <w:t>（2）供应商为本项目配备的服务人员须保证身体健康、统一着装并佩戴工号。服务人员年龄55周岁以下且团队中男性人员不少于总人数的80%。</w:t>
      </w:r>
    </w:p>
    <w:p>
      <w:pPr>
        <w:spacing w:line="360" w:lineRule="auto"/>
        <w:ind w:firstLine="480" w:firstLineChars="200"/>
        <w:jc w:val="both"/>
      </w:pPr>
      <w:r>
        <w:rPr>
          <w:rFonts w:hint="eastAsia"/>
        </w:rPr>
        <w:t>（3）服务人员在搬迁过程中，做到服务热情周到，保证设备、设施等完整无损，服从采购人的分配与指挥，将物资、设备、设施等码放到指定地点，如在搬运过程中发生物资、设备、设施等丢失或损坏，供应商负责赔偿。赔偿金额从合同款中扣除。</w:t>
      </w:r>
    </w:p>
    <w:p>
      <w:pPr>
        <w:spacing w:line="360" w:lineRule="auto"/>
        <w:ind w:firstLine="480" w:firstLineChars="200"/>
        <w:jc w:val="both"/>
      </w:pPr>
      <w:r>
        <w:rPr>
          <w:rFonts w:hint="eastAsia"/>
        </w:rPr>
        <w:t>4.车辆要求</w:t>
      </w:r>
    </w:p>
    <w:p>
      <w:pPr>
        <w:spacing w:line="360" w:lineRule="auto"/>
        <w:ind w:firstLine="480" w:firstLineChars="200"/>
        <w:jc w:val="both"/>
      </w:pPr>
      <w:r>
        <w:rPr>
          <w:rFonts w:hint="eastAsia"/>
        </w:rPr>
        <w:t>★（1）运输车辆：根据搬迁货物的种类配备各种类型的车辆。所有运输车辆行驶证、保险有效齐全，同时应符合运输车辆管理条例的要求。所有用于搬迁项目工作的车辆、机械设备和工具须干净、整洁，除运输大型设备外，所有设备、设施等都采用封闭厢式货车运输。（响应文件中提供运输车辆的有效的行驶证、有效的保单复印件并加盖供应商公章，否则作无效响应处理。如果是租赁的，还需提供租赁合同。提供不齐全的作无效响应处理。）</w:t>
      </w:r>
    </w:p>
    <w:p>
      <w:pPr>
        <w:spacing w:line="360" w:lineRule="auto"/>
        <w:ind w:firstLine="480" w:firstLineChars="200"/>
        <w:jc w:val="both"/>
      </w:pPr>
      <w:r>
        <w:rPr>
          <w:rFonts w:hint="eastAsia"/>
        </w:rPr>
        <w:t>（2）其他搬运车辆：叉车、吊车、小推车、液压车等。</w:t>
      </w:r>
    </w:p>
    <w:p>
      <w:pPr>
        <w:spacing w:line="360" w:lineRule="auto"/>
        <w:ind w:firstLine="480" w:firstLineChars="200"/>
        <w:jc w:val="both"/>
      </w:pPr>
      <w:r>
        <w:rPr>
          <w:rFonts w:hint="eastAsia"/>
        </w:rPr>
        <w:t>（3）车辆必须有保险公司承保车辆险。</w:t>
      </w:r>
    </w:p>
    <w:p>
      <w:pPr>
        <w:spacing w:line="360" w:lineRule="auto"/>
        <w:ind w:firstLine="480" w:firstLineChars="200"/>
        <w:jc w:val="both"/>
      </w:pPr>
      <w:r>
        <w:rPr>
          <w:rFonts w:hint="eastAsia"/>
        </w:rPr>
        <w:t>（4）所有车辆需配备GPS定位系统。</w:t>
      </w:r>
    </w:p>
    <w:p>
      <w:pPr>
        <w:spacing w:line="360" w:lineRule="auto"/>
        <w:ind w:firstLine="480" w:firstLineChars="200"/>
        <w:jc w:val="both"/>
      </w:pPr>
      <w:r>
        <w:rPr>
          <w:rFonts w:hint="eastAsia"/>
        </w:rPr>
        <w:t>（5）车辆应取得国家、常州市相关准运要求，且各种手续合法完整，各项证件均在有效期内。</w:t>
      </w:r>
    </w:p>
    <w:p>
      <w:pPr>
        <w:spacing w:line="360" w:lineRule="auto"/>
        <w:ind w:firstLine="480" w:firstLineChars="200"/>
        <w:jc w:val="both"/>
      </w:pPr>
      <w:r>
        <w:rPr>
          <w:rFonts w:hint="eastAsia"/>
        </w:rPr>
        <w:t>（6）车辆应性能完好，设备齐全，安全可靠。</w:t>
      </w:r>
    </w:p>
    <w:p>
      <w:pPr>
        <w:spacing w:line="360" w:lineRule="auto"/>
        <w:ind w:firstLine="480" w:firstLineChars="200"/>
        <w:jc w:val="both"/>
      </w:pPr>
      <w:r>
        <w:rPr>
          <w:rFonts w:hint="eastAsia"/>
        </w:rPr>
        <w:t>（7）车内配备有效的车用灭火器、故障车警示标志牌和必要的维修工具。</w:t>
      </w:r>
    </w:p>
    <w:p>
      <w:pPr>
        <w:spacing w:line="360" w:lineRule="auto"/>
        <w:ind w:firstLine="480" w:firstLineChars="200"/>
        <w:jc w:val="both"/>
      </w:pPr>
      <w:r>
        <w:rPr>
          <w:rFonts w:hint="eastAsia"/>
        </w:rPr>
        <w:t>（8）供应商需制定完善的车辆分配方案，确保采购人用车需要。</w:t>
      </w:r>
    </w:p>
    <w:p>
      <w:pPr>
        <w:spacing w:line="360" w:lineRule="auto"/>
        <w:ind w:firstLine="480" w:firstLineChars="200"/>
        <w:jc w:val="both"/>
      </w:pPr>
      <w:r>
        <w:rPr>
          <w:rFonts w:hint="eastAsia"/>
        </w:rPr>
        <w:t>5.其他要求</w:t>
      </w:r>
    </w:p>
    <w:p>
      <w:pPr>
        <w:spacing w:line="360" w:lineRule="auto"/>
        <w:ind w:firstLine="480" w:firstLineChars="200"/>
        <w:jc w:val="both"/>
      </w:pPr>
      <w:r>
        <w:rPr>
          <w:rFonts w:hint="eastAsia"/>
        </w:rPr>
        <w:t>★（1）供应商需承诺：服务期间注意安全措施，为参加本项目人员购买人身意外险并在合同签订前提供人员保单；提供相应的搬迁工具及护具，搬迁过程中发生一切安全事故、交通事故由成交供应商自行解决，采购人不承担任何责任。（响应文件中提供承诺函并加盖供应商公章，未提供作无效响应处理。）</w:t>
      </w:r>
    </w:p>
    <w:p>
      <w:pPr>
        <w:spacing w:line="360" w:lineRule="auto"/>
        <w:ind w:firstLine="480" w:firstLineChars="200"/>
        <w:jc w:val="both"/>
      </w:pPr>
      <w:r>
        <w:rPr>
          <w:rFonts w:hint="eastAsia"/>
        </w:rPr>
        <w:t>（2）货车和搬运服务人员需准时到达现场，供应商需根据采购人实际情况分派车辆，确保货物能够完好无损的到达新址，搬运服务人员需将物资、设备、设施等按事先规划好的方位摆放到位，并与采购任的现场负责人按照统计的明细一一清点，清点无误后双方签字确认。</w:t>
      </w:r>
    </w:p>
    <w:p>
      <w:pPr>
        <w:spacing w:line="360" w:lineRule="auto"/>
        <w:ind w:firstLine="480" w:firstLineChars="200"/>
        <w:jc w:val="both"/>
      </w:pPr>
      <w:r>
        <w:rPr>
          <w:rFonts w:hint="eastAsia"/>
        </w:rPr>
        <w:t>（3）在搬迁过程中，根据采购人的安排进行有序、安全地搬运。</w:t>
      </w:r>
    </w:p>
    <w:p>
      <w:pPr>
        <w:spacing w:line="360" w:lineRule="auto"/>
        <w:ind w:firstLine="480" w:firstLineChars="200"/>
        <w:jc w:val="both"/>
      </w:pPr>
      <w:r>
        <w:rPr>
          <w:rFonts w:hint="eastAsia"/>
        </w:rPr>
        <w:t>（4）搬迁到新址后，成交供应商须对物资、设备、设施按照采购人的要求安装、摆放到位，需要调试的还需调试到位，并协助采购人进行物资、设备、设施等的查找及移动。</w:t>
      </w:r>
    </w:p>
    <w:p>
      <w:pPr>
        <w:spacing w:line="360" w:lineRule="auto"/>
        <w:ind w:firstLine="480" w:firstLineChars="200"/>
        <w:jc w:val="both"/>
      </w:pPr>
      <w:r>
        <w:rPr>
          <w:rFonts w:hint="eastAsia"/>
        </w:rPr>
        <w:t>（5）本项目服务过程中的项目组负责人及其成员必须为投标文件中的拟派项目组负责人及其成员。</w:t>
      </w:r>
    </w:p>
    <w:p>
      <w:pPr>
        <w:spacing w:line="360" w:lineRule="auto"/>
        <w:ind w:firstLine="480" w:firstLineChars="200"/>
        <w:jc w:val="both"/>
      </w:pPr>
      <w:r>
        <w:rPr>
          <w:rFonts w:hint="eastAsia"/>
        </w:rPr>
        <w:t>（6）供应商必须依据相关法规文件要求承诺对在搬迁服务项目中所涉及的文件、技术、人员等资料承担保密义务和责任。供应商及服务人员均需遵守采购人的保密制度，搬迁中涉及的电子、纸质文字材料均不可泄露、留存、复制、拍照。</w:t>
      </w:r>
    </w:p>
    <w:p>
      <w:pPr>
        <w:spacing w:line="360" w:lineRule="auto"/>
        <w:ind w:firstLine="480" w:firstLineChars="200"/>
        <w:jc w:val="both"/>
      </w:pPr>
      <w:r>
        <w:rPr>
          <w:rFonts w:hint="eastAsia"/>
        </w:rPr>
        <w:t>（7）供应商成交后，需把所有车辆及人员名单提交采购人备案。</w:t>
      </w:r>
    </w:p>
    <w:p>
      <w:pPr>
        <w:spacing w:line="360" w:lineRule="auto"/>
        <w:ind w:firstLine="482" w:firstLineChars="200"/>
        <w:jc w:val="both"/>
        <w:rPr>
          <w:b/>
          <w:bCs/>
        </w:rPr>
      </w:pPr>
      <w:r>
        <w:rPr>
          <w:rFonts w:hint="eastAsia"/>
          <w:b/>
          <w:bCs/>
        </w:rPr>
        <w:t>（B）搬迁具体要求</w:t>
      </w:r>
    </w:p>
    <w:p>
      <w:pPr>
        <w:spacing w:line="360" w:lineRule="auto"/>
        <w:ind w:firstLine="480" w:firstLineChars="200"/>
        <w:jc w:val="both"/>
      </w:pPr>
      <w:r>
        <w:rPr>
          <w:rFonts w:hint="eastAsia"/>
        </w:rPr>
        <w:t>1.物品包装要求</w:t>
      </w:r>
    </w:p>
    <w:p>
      <w:pPr>
        <w:spacing w:line="360" w:lineRule="auto"/>
        <w:ind w:firstLine="480" w:firstLineChars="200"/>
        <w:jc w:val="both"/>
      </w:pPr>
      <w:r>
        <w:rPr>
          <w:rFonts w:hint="eastAsia"/>
        </w:rPr>
        <w:t>（1）</w:t>
      </w:r>
      <w:bookmarkStart w:id="2" w:name="_Hlk172105439"/>
      <w:r>
        <w:rPr>
          <w:rFonts w:hint="eastAsia"/>
        </w:rPr>
        <w:t>家具、设备、设施</w:t>
      </w:r>
      <w:bookmarkEnd w:id="2"/>
      <w:r>
        <w:rPr>
          <w:rFonts w:hint="eastAsia"/>
        </w:rPr>
        <w:t>等资产，应先检查资产标签是否张贴，需要拆卸搬运的应先进行拆卸并再分别包装，每个家具、设备的零部件进行分类装取，并在包装箱外张贴资产标签和搬迁标签信息，做好组装还原前的准备工作，在拆卸完后，每个部件的打包都要符合包装要求，对尖锐或者锋利的部件，应做好特殊防护打包，到达新址指定位置后进行重新安装、摆放到位。</w:t>
      </w:r>
    </w:p>
    <w:p>
      <w:pPr>
        <w:spacing w:line="360" w:lineRule="auto"/>
        <w:ind w:firstLine="480" w:firstLineChars="200"/>
        <w:jc w:val="both"/>
      </w:pPr>
      <w:r>
        <w:rPr>
          <w:rFonts w:hint="eastAsia"/>
        </w:rPr>
        <w:t>所有搬迁所需的包装材料和防护用品均由成交供应商提供，本项目需要提供打包纸箱执行国家该行业相关标准和合同约定的相关要求。</w:t>
      </w:r>
    </w:p>
    <w:p>
      <w:pPr>
        <w:spacing w:line="360" w:lineRule="auto"/>
        <w:ind w:firstLine="480" w:firstLineChars="200"/>
        <w:jc w:val="both"/>
      </w:pPr>
      <w:r>
        <w:rPr>
          <w:rFonts w:hint="eastAsia"/>
        </w:rPr>
        <w:t>★（2）所有物资、家具、设备、设施等不得新增损坏、不得遗失。如因成交供应商拆装、搬运、调试时造成设备、设施等损坏或丢失的由成交供应商按该设备的重置价格赔偿。上述内容响应文件中提供承诺函并加盖供应商公章，格式自拟，未提供作无效响应处理。</w:t>
      </w:r>
    </w:p>
    <w:p>
      <w:pPr>
        <w:spacing w:line="360" w:lineRule="auto"/>
        <w:ind w:firstLine="480" w:firstLineChars="200"/>
        <w:jc w:val="both"/>
      </w:pPr>
      <w:r>
        <w:rPr>
          <w:rFonts w:hint="eastAsia"/>
        </w:rPr>
        <w:t>（3）拆卸安装调试队伍需具有专业能力。在规定的时间内，将清单内所有家具、设备、设施等搬迁至指定位置，并根据现场安装位置和配套情况完成安装调试相关工作，确保家具、设备、设施不低于搬迁前的性能。所有家具、设备、设施等要求做好固定、防震、防撞、防水等保护措施，注意防压物品。</w:t>
      </w:r>
    </w:p>
    <w:p>
      <w:pPr>
        <w:spacing w:line="360" w:lineRule="auto"/>
        <w:ind w:firstLine="480" w:firstLineChars="200"/>
        <w:jc w:val="both"/>
      </w:pPr>
      <w:r>
        <w:rPr>
          <w:rFonts w:hint="eastAsia"/>
        </w:rPr>
        <w:t>（4）供应商自行考虑水、电、气、管网等的保障性设施及能否满足设备安装的条件，所有搬迁所需的包装材料和防护用品均由成交供应商提供，相应费用包含于报价中，采购人不再另行支付。</w:t>
      </w:r>
    </w:p>
    <w:p>
      <w:pPr>
        <w:spacing w:line="360" w:lineRule="auto"/>
        <w:ind w:firstLine="480" w:firstLineChars="200"/>
        <w:jc w:val="both"/>
      </w:pPr>
      <w:r>
        <w:rPr>
          <w:rFonts w:hint="eastAsia"/>
        </w:rPr>
        <w:t>（</w:t>
      </w:r>
      <w:r>
        <w:t>5</w:t>
      </w:r>
      <w:r>
        <w:rPr>
          <w:rFonts w:hint="eastAsia"/>
        </w:rPr>
        <w:t>）所有的家具、设备、设施等经分类包装、整理完毕，成交供应商应负责制作并张贴搬迁标签，并与采购人一起对物品进行清点登记，并在搬到新址以后再次核对。</w:t>
      </w:r>
    </w:p>
    <w:p>
      <w:pPr>
        <w:spacing w:line="360" w:lineRule="auto"/>
        <w:ind w:firstLine="480" w:firstLineChars="200"/>
        <w:jc w:val="both"/>
      </w:pPr>
      <w:r>
        <w:rPr>
          <w:rFonts w:hint="eastAsia"/>
        </w:rPr>
        <w:t>2.家具、设备搬迁要求：</w:t>
      </w:r>
    </w:p>
    <w:p>
      <w:pPr>
        <w:spacing w:line="360" w:lineRule="auto"/>
        <w:ind w:firstLine="480" w:firstLineChars="200"/>
        <w:jc w:val="both"/>
      </w:pPr>
      <w:r>
        <w:rPr>
          <w:rFonts w:hint="eastAsia"/>
        </w:rPr>
        <w:t>（1）家具、设备拆卸前，由采购人、成交供应商共同确认其原有性能，必要时请原厂或有资质的第三方机构进行技术确认，费用由成交供应商承担；</w:t>
      </w:r>
    </w:p>
    <w:p>
      <w:pPr>
        <w:spacing w:line="360" w:lineRule="auto"/>
        <w:ind w:firstLine="480" w:firstLineChars="200"/>
        <w:jc w:val="both"/>
      </w:pPr>
      <w:r>
        <w:rPr>
          <w:rFonts w:hint="eastAsia"/>
        </w:rPr>
        <w:t>（2）搬迁（含拆解、搬运、安装）过程中，发生家具、设备等的损坏搬迁后设备性能与搬迁前不一致，由成交供应商负责修复（修复性能不得劣于搬迁前性能），无法修复的按该设备的重置价格赔偿；</w:t>
      </w:r>
    </w:p>
    <w:p>
      <w:pPr>
        <w:spacing w:line="360" w:lineRule="auto"/>
        <w:ind w:firstLine="480" w:firstLineChars="200"/>
        <w:jc w:val="both"/>
      </w:pPr>
      <w:r>
        <w:rPr>
          <w:rFonts w:hint="eastAsia"/>
        </w:rPr>
        <w:t>（3）家具、设备搬迁至指定位置后，成交供应商需根据搬迁规定的时间节点进行包装拆除，并安装到位。</w:t>
      </w:r>
    </w:p>
    <w:p>
      <w:pPr>
        <w:spacing w:line="360" w:lineRule="auto"/>
        <w:ind w:firstLine="482" w:firstLineChars="200"/>
        <w:jc w:val="both"/>
        <w:rPr>
          <w:b/>
          <w:bCs/>
        </w:rPr>
      </w:pPr>
      <w:r>
        <w:rPr>
          <w:rFonts w:hint="eastAsia"/>
          <w:b/>
          <w:bCs/>
        </w:rPr>
        <w:t>（C）验收标准</w:t>
      </w:r>
    </w:p>
    <w:p>
      <w:pPr>
        <w:spacing w:line="360" w:lineRule="auto"/>
        <w:ind w:firstLine="480" w:firstLineChars="200"/>
        <w:jc w:val="both"/>
      </w:pPr>
      <w:r>
        <w:rPr>
          <w:rFonts w:hint="eastAsia"/>
        </w:rPr>
        <w:t>1.所搬迁家具、设备的外观、数量等检查、清点；</w:t>
      </w:r>
    </w:p>
    <w:p>
      <w:pPr>
        <w:spacing w:line="360" w:lineRule="auto"/>
        <w:ind w:firstLine="480" w:firstLineChars="200"/>
        <w:jc w:val="both"/>
      </w:pPr>
      <w:r>
        <w:rPr>
          <w:rFonts w:hint="eastAsia"/>
        </w:rPr>
        <w:t>2.所有家具、设备及材料外观，不得有因运输、搬运造成磕碰、损坏；</w:t>
      </w:r>
    </w:p>
    <w:p>
      <w:pPr>
        <w:spacing w:line="360" w:lineRule="auto"/>
        <w:ind w:firstLine="480" w:firstLineChars="200"/>
        <w:jc w:val="both"/>
      </w:pPr>
      <w:r>
        <w:rPr>
          <w:rFonts w:hint="eastAsia"/>
        </w:rPr>
        <w:t xml:space="preserve">3.确认无误后双方签字确认。 </w:t>
      </w:r>
    </w:p>
    <w:p>
      <w:pPr>
        <w:spacing w:line="360" w:lineRule="auto"/>
        <w:ind w:firstLine="480" w:firstLineChars="200"/>
        <w:jc w:val="both"/>
      </w:pPr>
      <w:r>
        <w:t>4</w:t>
      </w:r>
      <w:r>
        <w:rPr>
          <w:rFonts w:hint="eastAsia"/>
        </w:rPr>
        <w:t>.所有家具、设备、设施等在组装后必须和拆装前一样。</w:t>
      </w:r>
    </w:p>
    <w:p>
      <w:pPr>
        <w:spacing w:line="360" w:lineRule="auto"/>
        <w:ind w:firstLine="482" w:firstLineChars="200"/>
        <w:jc w:val="both"/>
        <w:rPr>
          <w:b/>
          <w:bCs/>
        </w:rPr>
      </w:pPr>
      <w:r>
        <w:rPr>
          <w:rFonts w:hint="eastAsia"/>
          <w:b/>
          <w:bCs/>
        </w:rPr>
        <w:t>注：打★项为实质性条款，不满足视为无效响应。</w:t>
      </w:r>
    </w:p>
    <w:p>
      <w:pPr>
        <w:spacing w:line="360" w:lineRule="auto"/>
        <w:ind w:firstLine="482" w:firstLineChars="200"/>
        <w:jc w:val="both"/>
        <w:rPr>
          <w:b/>
          <w:bCs/>
        </w:rPr>
      </w:pPr>
      <w:r>
        <w:rPr>
          <w:rFonts w:hint="eastAsia"/>
          <w:b/>
          <w:bCs/>
        </w:rPr>
        <w:t>(四)、报价方式</w:t>
      </w:r>
    </w:p>
    <w:p>
      <w:pPr>
        <w:spacing w:line="360" w:lineRule="auto"/>
        <w:ind w:firstLine="480" w:firstLineChars="200"/>
        <w:jc w:val="both"/>
      </w:pPr>
      <w:r>
        <w:rPr>
          <w:rFonts w:hint="eastAsia"/>
        </w:rPr>
        <w:t>本项目报价为固定总价，总价包括采购文件所确定的采购范围相应服务的提供、所有搬迁物品的拆装、搬迁、物资打包（含所有包装纸箱、木箱、捆扎、垫付材料等）、附属设施拆卸吊运费、装卸作业费、运输费、保险费、安装及调试费、维修保养费、辅材费（包含必需的辅助材料）、技术服务费（含必要原厂或有资质的第三方机构进行技术确认费）、人工费、利润、税金、经营风险以及合同实施过程中的应预见和不可预见费用。除本合同明确约定的费用外，采购人不再支付任何额外费用。</w:t>
      </w:r>
    </w:p>
    <w:p>
      <w:pPr>
        <w:numPr>
          <w:ilvl w:val="0"/>
          <w:numId w:val="1"/>
        </w:numPr>
        <w:spacing w:line="360" w:lineRule="auto"/>
        <w:ind w:firstLine="482" w:firstLineChars="200"/>
        <w:jc w:val="both"/>
        <w:rPr>
          <w:b/>
          <w:bCs/>
        </w:rPr>
      </w:pPr>
      <w:r>
        <w:rPr>
          <w:rFonts w:hint="eastAsia"/>
          <w:b/>
          <w:bCs/>
        </w:rPr>
        <w:t>、质保期及售后服务</w:t>
      </w:r>
    </w:p>
    <w:p>
      <w:pPr>
        <w:spacing w:line="360" w:lineRule="auto"/>
        <w:ind w:firstLine="482" w:firstLineChars="200"/>
        <w:jc w:val="both"/>
      </w:pPr>
      <w:r>
        <w:rPr>
          <w:rFonts w:hint="eastAsia"/>
          <w:b/>
          <w:bCs/>
        </w:rPr>
        <w:t>1.质保期：</w:t>
      </w:r>
      <w:r>
        <w:rPr>
          <w:rFonts w:hint="eastAsia"/>
        </w:rPr>
        <w:t>4周，自验收合格之日起算。成交供应商对质保期内所发生的家具、设备维护、维修、更换等一切费用负责。</w:t>
      </w:r>
    </w:p>
    <w:p>
      <w:pPr>
        <w:spacing w:line="360" w:lineRule="auto"/>
        <w:ind w:firstLine="482" w:firstLineChars="200"/>
        <w:jc w:val="both"/>
        <w:rPr>
          <w:b/>
          <w:bCs/>
        </w:rPr>
      </w:pPr>
      <w:r>
        <w:rPr>
          <w:rFonts w:hint="eastAsia"/>
          <w:b/>
          <w:bCs/>
        </w:rPr>
        <w:t>2.售后服务</w:t>
      </w:r>
    </w:p>
    <w:p>
      <w:pPr>
        <w:spacing w:line="360" w:lineRule="auto"/>
        <w:ind w:firstLine="480" w:firstLineChars="200"/>
        <w:jc w:val="both"/>
      </w:pPr>
      <w:r>
        <w:rPr>
          <w:rFonts w:hint="eastAsia"/>
        </w:rPr>
        <w:t>（1）所有的售后服务均由成交供应商受理。如果发生问题并且收到报告，成交供应商应当在2小时内予以答复。</w:t>
      </w:r>
    </w:p>
    <w:p>
      <w:pPr>
        <w:spacing w:line="360" w:lineRule="auto"/>
        <w:ind w:firstLine="480" w:firstLineChars="200"/>
        <w:jc w:val="both"/>
      </w:pPr>
      <w:r>
        <w:rPr>
          <w:rFonts w:hint="eastAsia"/>
        </w:rPr>
        <w:t>（2）如发现所搬迁的家具、设备存在问题，需要成交供应商解决或配合解决时，应在接到通知后2小时内派有关人员到达现场，在采购人规定的时限内排除故障。</w:t>
      </w:r>
    </w:p>
    <w:p>
      <w:pPr>
        <w:spacing w:line="360" w:lineRule="auto"/>
        <w:ind w:firstLine="480" w:firstLineChars="200"/>
        <w:jc w:val="both"/>
      </w:pPr>
      <w:r>
        <w:rPr>
          <w:rFonts w:hint="eastAsia"/>
        </w:rPr>
        <w:t>（3）成交供应商派往采购人现场的人员，应具有较高的业务素质，现场解决问题时，不得无故拖延或推迟，应为采购人提供最佳的服务。</w:t>
      </w:r>
    </w:p>
    <w:p>
      <w:pPr>
        <w:spacing w:line="360" w:lineRule="auto"/>
        <w:ind w:firstLine="482" w:firstLineChars="200"/>
        <w:jc w:val="both"/>
        <w:rPr>
          <w:b/>
          <w:bCs/>
        </w:rPr>
      </w:pPr>
      <w:r>
        <w:rPr>
          <w:rFonts w:hint="eastAsia"/>
          <w:b/>
          <w:bCs/>
        </w:rPr>
        <w:t>（六）、付款方式</w:t>
      </w:r>
    </w:p>
    <w:p>
      <w:pPr>
        <w:spacing w:line="360" w:lineRule="auto"/>
        <w:ind w:firstLine="480" w:firstLineChars="200"/>
        <w:jc w:val="both"/>
      </w:pPr>
      <w:r>
        <w:rPr>
          <w:rFonts w:hint="eastAsia"/>
        </w:rPr>
        <w:t>合同签订生效后预付合同金额的30%，剩余70%待项目完成经采购方验收合格后一次性付清。成交供应商向采购方申请付款时需提供等额的正规税务发票。</w:t>
      </w:r>
    </w:p>
    <w:p>
      <w:pPr>
        <w:spacing w:line="360" w:lineRule="auto"/>
        <w:ind w:firstLine="482" w:firstLineChars="200"/>
        <w:jc w:val="both"/>
        <w:rPr>
          <w:b/>
          <w:bCs/>
        </w:rPr>
      </w:pPr>
      <w:r>
        <w:rPr>
          <w:rFonts w:hint="eastAsia"/>
          <w:b/>
          <w:bCs/>
        </w:rPr>
        <w:t>五、供应商资格要求：</w:t>
      </w:r>
    </w:p>
    <w:p>
      <w:pPr>
        <w:spacing w:line="360" w:lineRule="auto"/>
        <w:ind w:firstLine="480" w:firstLineChars="200"/>
        <w:jc w:val="both"/>
      </w:pPr>
      <w:r>
        <w:t>1.满足《中华人民共和国政府采购法》第二十二条规定；</w:t>
      </w:r>
    </w:p>
    <w:p>
      <w:pPr>
        <w:spacing w:line="360" w:lineRule="auto"/>
        <w:ind w:firstLine="480" w:firstLineChars="200"/>
        <w:jc w:val="both"/>
      </w:pPr>
      <w:r>
        <w:t>2.落实政府采购政策需满足的资格要求：无</w:t>
      </w:r>
    </w:p>
    <w:p>
      <w:pPr>
        <w:spacing w:line="360" w:lineRule="auto"/>
        <w:ind w:firstLine="480" w:firstLineChars="200"/>
        <w:jc w:val="both"/>
      </w:pPr>
      <w:r>
        <w:t>3.本项目的特定资格要求：</w:t>
      </w:r>
    </w:p>
    <w:p>
      <w:pPr>
        <w:spacing w:line="360" w:lineRule="auto"/>
        <w:ind w:firstLine="480" w:firstLineChars="200"/>
        <w:jc w:val="both"/>
      </w:pPr>
      <w:r>
        <w:t>（1）单位负责人为同一人或者存在直接控股、管理关系的不同供应商（包含法定代表人为同一个人的两个及两个以上法人，母公司、全资子公司及其控股公司），不得参加同一合同项下的政府采购活动。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pPr>
      <w:r>
        <w:t>（2）采购人的其他特定资格要求：</w:t>
      </w:r>
      <w:r>
        <w:rPr>
          <w:rFonts w:hint="eastAsia"/>
        </w:rPr>
        <w:t>无</w:t>
      </w:r>
      <w:r>
        <w:t xml:space="preserve"> </w:t>
      </w:r>
    </w:p>
    <w:p>
      <w:pPr>
        <w:spacing w:line="360" w:lineRule="auto"/>
        <w:ind w:firstLine="482" w:firstLineChars="200"/>
        <w:jc w:val="both"/>
        <w:rPr>
          <w:b/>
          <w:bCs/>
        </w:rPr>
      </w:pPr>
      <w:r>
        <w:rPr>
          <w:rFonts w:hint="eastAsia"/>
          <w:b/>
          <w:bCs/>
        </w:rPr>
        <w:t>六、成交原则：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rPr>
      </w:pPr>
      <w:r>
        <w:rPr>
          <w:rFonts w:hint="eastAsia"/>
          <w:b/>
          <w:bCs/>
        </w:rPr>
        <w:t>七、成交供应商应在中标公示期满后三个工作日内提供</w:t>
      </w:r>
      <w:bookmarkStart w:id="3" w:name="招标文件份数"/>
      <w:r>
        <w:rPr>
          <w:rFonts w:hint="eastAsia"/>
          <w:b/>
          <w:bCs/>
        </w:rPr>
        <w:t>报价文件（正本壹份，副本贰份</w:t>
      </w:r>
      <w:bookmarkEnd w:id="3"/>
      <w:r>
        <w:rPr>
          <w:rFonts w:hint="eastAsia"/>
          <w:b/>
          <w:bCs/>
        </w:rPr>
        <w:t>）递交至常州盈泰招标有限公司。</w:t>
      </w:r>
    </w:p>
    <w:p>
      <w:pPr>
        <w:spacing w:line="360" w:lineRule="auto"/>
        <w:ind w:firstLine="480" w:firstLineChars="200"/>
        <w:jc w:val="both"/>
      </w:pPr>
      <w:r>
        <w:rPr>
          <w:rFonts w:hint="eastAsia"/>
        </w:rPr>
        <w:t>报价文件应包括以下内容：</w:t>
      </w:r>
      <w:r>
        <w:t>响应函</w:t>
      </w:r>
      <w:r>
        <w:rPr>
          <w:rFonts w:hint="eastAsia"/>
        </w:rPr>
        <w:t>、报价人声明、有效营业执照副本复印件、报价代表人的单位负责人授权书、报价一览表、</w:t>
      </w:r>
      <w:r>
        <w:t>分项报价表</w:t>
      </w:r>
      <w:r>
        <w:rPr>
          <w:rFonts w:hint="eastAsia"/>
        </w:rPr>
        <w:t>、技术规格和商务偏离表、</w:t>
      </w:r>
      <w:r>
        <w:t>服务承诺书</w:t>
      </w:r>
      <w:r>
        <w:rPr>
          <w:rFonts w:hint="eastAsia"/>
        </w:rPr>
        <w:t>等，或其它必要的相关证明材料（以上文件均需加盖公章），否则视为无效报价。</w:t>
      </w:r>
    </w:p>
    <w:p>
      <w:pPr>
        <w:spacing w:line="360" w:lineRule="auto"/>
        <w:ind w:firstLine="482" w:firstLineChars="200"/>
        <w:jc w:val="both"/>
        <w:rPr>
          <w:b/>
        </w:rPr>
      </w:pPr>
      <w:r>
        <w:rPr>
          <w:rFonts w:hint="eastAsia" w:cs="Times New Roman"/>
          <w:b/>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pPr>
      <w:r>
        <w:rPr>
          <w:rFonts w:hint="eastAsia"/>
        </w:rPr>
        <w:t>本项目</w:t>
      </w:r>
      <w:r>
        <w:rPr>
          <w:rFonts w:hint="eastAsia"/>
          <w:b/>
          <w:bCs/>
        </w:rPr>
        <w:t>成交服务费</w:t>
      </w:r>
      <w:r>
        <w:rPr>
          <w:rFonts w:hint="eastAsia"/>
          <w:b/>
          <w:bCs/>
          <w:u w:val="single"/>
        </w:rPr>
        <w:t xml:space="preserve"> 2000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pPr>
        <w:spacing w:line="360" w:lineRule="auto"/>
        <w:ind w:firstLine="480" w:firstLineChars="200"/>
        <w:jc w:val="both"/>
      </w:pPr>
      <w:r>
        <w:rPr>
          <w:rFonts w:hint="eastAsia"/>
        </w:rPr>
        <w:t>收款单位：常州盈泰招标有限公司</w:t>
      </w:r>
    </w:p>
    <w:p>
      <w:pPr>
        <w:spacing w:line="360" w:lineRule="auto"/>
        <w:ind w:firstLine="480" w:firstLineChars="200"/>
        <w:jc w:val="both"/>
      </w:pPr>
      <w:r>
        <w:rPr>
          <w:rFonts w:hint="eastAsia"/>
        </w:rPr>
        <w:t>开户银行：中国建设银行常州市延陵路支行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bookmarkStart w:id="4" w:name="_Hlk111102163"/>
      <w:r>
        <w:rPr>
          <w:rFonts w:hint="eastAsia"/>
          <w:b/>
          <w:bCs/>
        </w:rPr>
        <w:t>九、联系方式</w:t>
      </w:r>
    </w:p>
    <w:p>
      <w:pPr>
        <w:spacing w:line="360" w:lineRule="auto"/>
        <w:ind w:firstLine="480" w:firstLineChars="200"/>
        <w:jc w:val="both"/>
      </w:pPr>
      <w:bookmarkStart w:id="5" w:name="OLE_LINK1"/>
      <w:bookmarkStart w:id="6" w:name="OLE_LINK2"/>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 xml:space="preserve">8号锦湖创新中心A座11楼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采购人名称：常州仲裁委员会办公室</w:t>
      </w:r>
    </w:p>
    <w:p>
      <w:pPr>
        <w:spacing w:line="360" w:lineRule="auto"/>
        <w:ind w:firstLine="480" w:firstLineChars="200"/>
        <w:jc w:val="both"/>
      </w:pPr>
      <w:bookmarkStart w:id="7" w:name="_Hlk114778624"/>
      <w:bookmarkStart w:id="8" w:name="_Hlk123827084"/>
      <w:r>
        <w:rPr>
          <w:rFonts w:hint="eastAsia"/>
        </w:rPr>
        <w:t>地 址：</w:t>
      </w:r>
      <w:bookmarkStart w:id="9" w:name="_Hlk130908004"/>
      <w:r>
        <w:rPr>
          <w:rFonts w:hint="eastAsia"/>
        </w:rPr>
        <w:t>常州市劳动中路摇树村218号</w:t>
      </w:r>
    </w:p>
    <w:bookmarkEnd w:id="9"/>
    <w:p>
      <w:pPr>
        <w:spacing w:line="360" w:lineRule="auto"/>
        <w:ind w:firstLine="480" w:firstLineChars="200"/>
        <w:jc w:val="both"/>
      </w:pPr>
      <w:r>
        <w:rPr>
          <w:rFonts w:hint="eastAsia"/>
        </w:rPr>
        <w:t>联系人：黄女士</w:t>
      </w:r>
    </w:p>
    <w:p>
      <w:pPr>
        <w:spacing w:line="360" w:lineRule="auto"/>
        <w:ind w:firstLine="480" w:firstLineChars="200"/>
        <w:jc w:val="both"/>
      </w:pPr>
      <w:r>
        <w:rPr>
          <w:rFonts w:hint="eastAsia"/>
        </w:rPr>
        <w:t>联系电话：</w:t>
      </w:r>
      <w:bookmarkEnd w:id="7"/>
      <w:bookmarkEnd w:id="8"/>
      <w:bookmarkStart w:id="10" w:name="_Hlk130914190"/>
      <w:r>
        <w:rPr>
          <w:rFonts w:hint="eastAsia"/>
        </w:rPr>
        <w:t>0519-812896</w:t>
      </w:r>
      <w:bookmarkEnd w:id="10"/>
      <w:r>
        <w:t>67</w:t>
      </w:r>
    </w:p>
    <w:p>
      <w:pPr>
        <w:spacing w:line="360" w:lineRule="auto"/>
        <w:jc w:val="right"/>
        <w:rPr>
          <w:highlight w:val="yellow"/>
        </w:rPr>
      </w:pPr>
    </w:p>
    <w:p>
      <w:pPr>
        <w:spacing w:line="360" w:lineRule="auto"/>
        <w:jc w:val="right"/>
        <w:rPr>
          <w:highlight w:val="none"/>
        </w:rPr>
      </w:pPr>
      <w:bookmarkStart w:id="24" w:name="_GoBack"/>
      <w:r>
        <w:rPr>
          <w:rFonts w:hint="eastAsia"/>
          <w:highlight w:val="none"/>
        </w:rPr>
        <w:t>常州盈泰招标有限公司</w:t>
      </w:r>
    </w:p>
    <w:p>
      <w:pPr>
        <w:spacing w:line="360" w:lineRule="auto"/>
        <w:jc w:val="right"/>
        <w:rPr>
          <w:highlight w:val="none"/>
        </w:rPr>
      </w:pPr>
      <w:r>
        <w:rPr>
          <w:highlight w:val="none"/>
        </w:rPr>
        <w:t>202</w:t>
      </w:r>
      <w:r>
        <w:rPr>
          <w:rFonts w:hint="eastAsia"/>
          <w:highlight w:val="none"/>
        </w:rPr>
        <w:t>4</w:t>
      </w:r>
      <w:r>
        <w:rPr>
          <w:highlight w:val="none"/>
        </w:rPr>
        <w:t>年</w:t>
      </w:r>
      <w:r>
        <w:rPr>
          <w:rFonts w:hint="eastAsia"/>
          <w:highlight w:val="none"/>
        </w:rPr>
        <w:t>7</w:t>
      </w:r>
      <w:r>
        <w:rPr>
          <w:highlight w:val="none"/>
        </w:rPr>
        <w:t>月</w:t>
      </w:r>
      <w:r>
        <w:rPr>
          <w:rFonts w:hint="eastAsia"/>
          <w:highlight w:val="none"/>
        </w:rPr>
        <w:t>18</w:t>
      </w:r>
      <w:r>
        <w:rPr>
          <w:highlight w:val="none"/>
        </w:rPr>
        <w:t>日</w:t>
      </w:r>
      <w:bookmarkEnd w:id="24"/>
    </w:p>
    <w:bookmarkEnd w:id="4"/>
    <w:bookmarkEnd w:id="5"/>
    <w:bookmarkEnd w:id="6"/>
    <w:p>
      <w:r>
        <w:br w:type="page"/>
      </w:r>
    </w:p>
    <w:p>
      <w:pPr>
        <w:shd w:val="clear" w:color="auto" w:fill="FFFFFF"/>
        <w:wordWrap w:val="0"/>
        <w:spacing w:after="150" w:line="400" w:lineRule="atLeast"/>
        <w:jc w:val="center"/>
        <w:rPr>
          <w:rFonts w:ascii="Helvetica" w:hAnsi="Helvetica" w:cs="Helvetica"/>
          <w:sz w:val="18"/>
          <w:szCs w:val="18"/>
        </w:rPr>
      </w:pPr>
      <w:r>
        <w:rPr>
          <w:rFonts w:hint="eastAsia" w:cs="Helvetica"/>
          <w:b/>
          <w:bCs/>
          <w:sz w:val="36"/>
          <w:szCs w:val="36"/>
        </w:rPr>
        <w:t>投标报名申请表</w:t>
      </w:r>
    </w:p>
    <w:p>
      <w:pPr>
        <w:shd w:val="clear" w:color="auto" w:fill="FFFFFF"/>
        <w:spacing w:after="150" w:line="400" w:lineRule="atLeast"/>
        <w:rPr>
          <w:rFonts w:ascii="Helvetica" w:hAnsi="Helvetica" w:cs="Helvetica"/>
          <w:sz w:val="18"/>
          <w:szCs w:val="18"/>
        </w:rPr>
      </w:pPr>
      <w:r>
        <w:rPr>
          <w:rFonts w:hint="eastAsia" w:cs="Helvetica"/>
        </w:rPr>
        <w:t>项目名称：</w:t>
      </w:r>
    </w:p>
    <w:p>
      <w:pPr>
        <w:shd w:val="clear" w:color="auto" w:fill="FFFFFF"/>
        <w:spacing w:after="150" w:line="400" w:lineRule="atLeast"/>
        <w:rPr>
          <w:rFonts w:ascii="Helvetica" w:hAnsi="Helvetica" w:cs="Helvetica"/>
          <w:sz w:val="18"/>
          <w:szCs w:val="18"/>
        </w:rPr>
      </w:pPr>
      <w:r>
        <w:rPr>
          <w:rFonts w:hint="eastAsia" w:cs="Helvetica"/>
        </w:rPr>
        <w:t>项目编号：</w:t>
      </w:r>
    </w:p>
    <w:tbl>
      <w:tblPr>
        <w:tblStyle w:val="8"/>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投标单位全称（公章）：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5" w:hRule="atLeast"/>
          <w:jc w:val="center"/>
        </w:trPr>
        <w:tc>
          <w:tcPr>
            <w:tcW w:w="8322" w:type="dxa"/>
            <w:shd w:val="clear" w:color="auto" w:fill="auto"/>
            <w:tcMar>
              <w:top w:w="0" w:type="dxa"/>
              <w:left w:w="0" w:type="dxa"/>
              <w:bottom w:w="0" w:type="dxa"/>
              <w:right w:w="0" w:type="dxa"/>
            </w:tcMar>
            <w:vAlign w:val="center"/>
          </w:tcPr>
          <w:p>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pPr>
              <w:spacing w:after="150" w:line="400" w:lineRule="atLeast"/>
              <w:ind w:firstLine="482"/>
              <w:jc w:val="center"/>
            </w:pPr>
            <w:r>
              <w:rPr>
                <w:rFonts w:hint="eastAsia"/>
              </w:rPr>
              <w:t>法人代表人（签字并盖章）：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被授权人签字：</w:t>
            </w:r>
          </w:p>
        </w:tc>
      </w:tr>
    </w:tbl>
    <w:p>
      <w:r>
        <w:rPr>
          <w:rFonts w:hint="eastAsia"/>
        </w:rPr>
        <w:t>注：投标申请表盖章后需将</w:t>
      </w:r>
      <w:r>
        <w:t>格式</w:t>
      </w:r>
      <w:r>
        <w:rPr>
          <w:rFonts w:hint="eastAsia"/>
        </w:rPr>
        <w:t>改为</w:t>
      </w:r>
      <w:r>
        <w:t>pdf</w:t>
      </w:r>
      <w:r>
        <w:rPr>
          <w:rFonts w:hint="eastAsia"/>
        </w:rPr>
        <w:t>或</w:t>
      </w:r>
      <w:r>
        <w:t>jpg</w:t>
      </w:r>
      <w:r>
        <w:rPr>
          <w:rFonts w:hint="eastAsia"/>
        </w:rPr>
        <w:t>上传。</w:t>
      </w:r>
    </w:p>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2"/>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2"/>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8"/>
        <w:spacing w:after="120" w:line="500" w:lineRule="exact"/>
        <w:jc w:val="center"/>
        <w:outlineLvl w:val="9"/>
        <w:rPr>
          <w:rFonts w:hAnsi="宋体" w:cs="宋体"/>
          <w:sz w:val="24"/>
        </w:rPr>
      </w:pPr>
      <w:r>
        <w:rPr>
          <w:rFonts w:hint="eastAsia" w:hAnsi="宋体" w:cs="宋体"/>
          <w:sz w:val="24"/>
        </w:rPr>
        <w:br w:type="page"/>
      </w:r>
    </w:p>
    <w:p>
      <w:pPr>
        <w:pStyle w:val="18"/>
        <w:spacing w:after="120" w:line="500" w:lineRule="exact"/>
        <w:jc w:val="center"/>
        <w:outlineLvl w:val="9"/>
        <w:rPr>
          <w:rFonts w:hAnsi="宋体" w:cs="宋体"/>
          <w:sz w:val="24"/>
        </w:rPr>
      </w:pPr>
    </w:p>
    <w:p>
      <w:pPr>
        <w:pStyle w:val="18"/>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18"/>
        <w:spacing w:after="120" w:line="500" w:lineRule="exact"/>
        <w:jc w:val="center"/>
        <w:outlineLvl w:val="9"/>
        <w:rPr>
          <w:rFonts w:hAnsi="宋体" w:cs="宋体"/>
          <w:b/>
          <w:sz w:val="36"/>
        </w:rPr>
      </w:pPr>
    </w:p>
    <w:p>
      <w:pPr>
        <w:pStyle w:val="5"/>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单位负责人授权书</w:t>
      </w:r>
    </w:p>
    <w:p>
      <w:pPr>
        <w:pStyle w:val="5"/>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报价一览表</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分项报价表</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服务承诺书</w:t>
      </w:r>
    </w:p>
    <w:p>
      <w:pPr>
        <w:pStyle w:val="18"/>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18"/>
        <w:numPr>
          <w:ilvl w:val="0"/>
          <w:numId w:val="2"/>
        </w:numPr>
        <w:spacing w:line="360" w:lineRule="auto"/>
        <w:jc w:val="center"/>
        <w:rPr>
          <w:rFonts w:hAnsi="宋体" w:cs="宋体"/>
          <w:b/>
          <w:szCs w:val="28"/>
        </w:rPr>
      </w:pPr>
      <w:r>
        <w:rPr>
          <w:rFonts w:hint="eastAsia" w:hAnsi="宋体" w:cs="宋体"/>
          <w:b/>
          <w:szCs w:val="28"/>
        </w:rPr>
        <w:t>响应函</w:t>
      </w:r>
    </w:p>
    <w:p>
      <w:pPr>
        <w:pStyle w:val="18"/>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11" w:name="_Toc34311362"/>
      <w:bookmarkStart w:id="12" w:name="_Toc34296079"/>
      <w:r>
        <w:rPr>
          <w:b/>
          <w:szCs w:val="28"/>
        </w:rPr>
        <w:br w:type="page"/>
      </w:r>
    </w:p>
    <w:p>
      <w:pPr>
        <w:pStyle w:val="18"/>
        <w:numPr>
          <w:ilvl w:val="0"/>
          <w:numId w:val="2"/>
        </w:numPr>
        <w:spacing w:line="360" w:lineRule="auto"/>
        <w:jc w:val="center"/>
        <w:rPr>
          <w:rFonts w:hAnsi="宋体" w:cs="宋体"/>
          <w:b/>
          <w:szCs w:val="28"/>
        </w:rPr>
      </w:pPr>
      <w:r>
        <w:rPr>
          <w:rFonts w:hint="eastAsia" w:hAnsi="宋体" w:cs="宋体"/>
          <w:b/>
          <w:szCs w:val="28"/>
        </w:rPr>
        <w:t>报价人声明</w:t>
      </w:r>
      <w:bookmarkEnd w:id="11"/>
      <w:bookmarkEnd w:id="12"/>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13" w:name="_Toc34296080"/>
      <w:bookmarkStart w:id="14" w:name="_Toc34311363"/>
      <w:r>
        <w:rPr>
          <w:b/>
          <w:szCs w:val="28"/>
        </w:rPr>
        <w:br w:type="page"/>
      </w:r>
    </w:p>
    <w:p>
      <w:pPr>
        <w:pStyle w:val="18"/>
        <w:numPr>
          <w:ilvl w:val="0"/>
          <w:numId w:val="2"/>
        </w:numPr>
        <w:spacing w:line="360" w:lineRule="auto"/>
        <w:jc w:val="center"/>
        <w:rPr>
          <w:rFonts w:hAnsi="宋体" w:cs="宋体"/>
          <w:b/>
          <w:szCs w:val="28"/>
        </w:rPr>
      </w:pPr>
      <w:r>
        <w:rPr>
          <w:rFonts w:hint="eastAsia" w:hAnsi="宋体" w:cs="宋体"/>
          <w:b/>
          <w:szCs w:val="28"/>
        </w:rPr>
        <w:t>有效营业执照副本复印件等证明文件</w:t>
      </w:r>
      <w:bookmarkEnd w:id="13"/>
      <w:bookmarkEnd w:id="14"/>
    </w:p>
    <w:p>
      <w:pPr>
        <w:pStyle w:val="6"/>
        <w:spacing w:before="0" w:beforeAutospacing="0" w:after="0" w:afterAutospacing="0" w:line="420" w:lineRule="exact"/>
        <w:ind w:firstLine="621" w:firstLineChars="259"/>
      </w:pPr>
      <w:r>
        <w:rPr>
          <w:rFonts w:hint="eastAsia"/>
        </w:rPr>
        <w:t>营业执照（复印件）</w:t>
      </w:r>
    </w:p>
    <w:p>
      <w:r>
        <w:br w:type="page"/>
      </w:r>
    </w:p>
    <w:p>
      <w:pPr>
        <w:pStyle w:val="18"/>
        <w:numPr>
          <w:ilvl w:val="0"/>
          <w:numId w:val="2"/>
        </w:numPr>
        <w:spacing w:line="360" w:lineRule="auto"/>
        <w:jc w:val="center"/>
        <w:rPr>
          <w:rFonts w:hAnsi="宋体" w:cs="宋体"/>
          <w:b/>
          <w:szCs w:val="28"/>
        </w:rPr>
      </w:pPr>
      <w:bookmarkStart w:id="15" w:name="_Toc34311364"/>
      <w:bookmarkStart w:id="16" w:name="_Toc34296081"/>
      <w:r>
        <w:rPr>
          <w:rFonts w:hint="eastAsia" w:hAnsi="宋体" w:cs="宋体"/>
          <w:b/>
          <w:szCs w:val="28"/>
        </w:rPr>
        <w:t>单位负责人授权书</w:t>
      </w:r>
      <w:bookmarkEnd w:id="15"/>
      <w:bookmarkEnd w:id="16"/>
    </w:p>
    <w:p>
      <w:pPr>
        <w:shd w:val="clear" w:color="auto" w:fill="FFFFFF"/>
        <w:spacing w:line="420" w:lineRule="exact"/>
        <w:ind w:left="723"/>
        <w:rPr>
          <w:b/>
          <w:shd w:val="clear" w:color="auto" w:fill="FFFFFF"/>
          <w:lang w:bidi="ar"/>
        </w:rPr>
      </w:pPr>
    </w:p>
    <w:p>
      <w:pPr>
        <w:pStyle w:val="6"/>
        <w:spacing w:before="0" w:beforeAutospacing="0" w:after="0" w:afterAutospacing="0" w:line="420" w:lineRule="exact"/>
      </w:pPr>
      <w:r>
        <w:rPr>
          <w:rFonts w:hint="eastAsia"/>
        </w:rPr>
        <w:t>致：</w:t>
      </w:r>
      <w:r>
        <w:rPr>
          <w:rFonts w:hint="eastAsia"/>
          <w:u w:val="single"/>
        </w:rPr>
        <w:t>常州盈泰招标有限公司</w:t>
      </w:r>
    </w:p>
    <w:p>
      <w:pPr>
        <w:pStyle w:val="6"/>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6"/>
        <w:spacing w:before="0" w:beforeAutospacing="0" w:after="0" w:afterAutospacing="0" w:line="420" w:lineRule="exact"/>
        <w:ind w:firstLine="621" w:firstLineChars="259"/>
      </w:pPr>
      <w:r>
        <w:rPr>
          <w:rFonts w:hint="eastAsia"/>
        </w:rPr>
        <w:t>报价人代表无转委权。特此授权。</w:t>
      </w:r>
    </w:p>
    <w:p>
      <w:pPr>
        <w:pStyle w:val="6"/>
        <w:spacing w:before="0" w:beforeAutospacing="0" w:after="0" w:afterAutospacing="0" w:line="420" w:lineRule="exact"/>
        <w:jc w:val="center"/>
      </w:pPr>
      <w:r>
        <w:rPr>
          <w:rFonts w:hint="eastAsia"/>
        </w:rPr>
        <w:t>（以下无正文）</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6"/>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授权方</w:t>
      </w:r>
    </w:p>
    <w:p>
      <w:pPr>
        <w:pStyle w:val="6"/>
        <w:spacing w:before="0" w:beforeAutospacing="0" w:after="0" w:afterAutospacing="0" w:line="420" w:lineRule="exact"/>
      </w:pPr>
      <w:r>
        <w:rPr>
          <w:rFonts w:hint="eastAsia"/>
        </w:rPr>
        <w:t>报价人：</w:t>
      </w:r>
      <w:r>
        <w:rPr>
          <w:rFonts w:hint="eastAsia"/>
          <w:u w:val="single"/>
        </w:rPr>
        <w:t>（全称并加盖单位公章）</w:t>
      </w:r>
    </w:p>
    <w:p>
      <w:pPr>
        <w:pStyle w:val="6"/>
        <w:spacing w:before="0" w:beforeAutospacing="0" w:after="0" w:afterAutospacing="0" w:line="420" w:lineRule="exact"/>
      </w:pPr>
      <w:r>
        <w:rPr>
          <w:rFonts w:hint="eastAsia"/>
        </w:rPr>
        <w:t>单位负责人签字或盖章：</w:t>
      </w:r>
      <w:r>
        <w:rPr>
          <w:rFonts w:hint="eastAsia"/>
          <w:u w:val="single"/>
        </w:rPr>
        <w:t>                   </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接受授权方</w:t>
      </w:r>
    </w:p>
    <w:p>
      <w:pPr>
        <w:pStyle w:val="6"/>
        <w:spacing w:before="0" w:beforeAutospacing="0" w:after="0" w:afterAutospacing="0" w:line="420" w:lineRule="exact"/>
      </w:pPr>
      <w:r>
        <w:rPr>
          <w:rFonts w:hint="eastAsia"/>
        </w:rPr>
        <w:t>报价人代表签字：</w:t>
      </w:r>
      <w:r>
        <w:rPr>
          <w:rFonts w:hint="eastAsia"/>
          <w:u w:val="single"/>
        </w:rPr>
        <w:t>                   </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附：单位负责人、报价人代表的身份证正反面复印件</w:t>
      </w:r>
    </w:p>
    <w:p>
      <w:pPr>
        <w:pStyle w:val="6"/>
        <w:spacing w:before="0" w:beforeAutospacing="0" w:after="0" w:afterAutospacing="0" w:line="420" w:lineRule="exact"/>
      </w:pPr>
    </w:p>
    <w:tbl>
      <w:tblPr>
        <w:tblStyle w:val="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6"/>
              <w:spacing w:before="0" w:beforeAutospacing="0" w:after="0" w:afterAutospacing="0" w:line="420" w:lineRule="exact"/>
              <w:jc w:val="center"/>
            </w:pPr>
            <w:r>
              <w:rPr>
                <w:rStyle w:val="11"/>
                <w:rFonts w:hint="eastAsia"/>
              </w:rPr>
              <w:t> </w:t>
            </w:r>
          </w:p>
          <w:p>
            <w:pPr>
              <w:pStyle w:val="6"/>
              <w:spacing w:before="0" w:beforeAutospacing="0" w:after="0" w:afterAutospacing="0" w:line="420" w:lineRule="exact"/>
              <w:jc w:val="center"/>
            </w:pPr>
            <w:r>
              <w:rPr>
                <w:rStyle w:val="11"/>
                <w:rFonts w:hint="eastAsia"/>
              </w:rPr>
              <w:t>要求：真实有效且内容完整、清晰、整洁。</w:t>
            </w:r>
          </w:p>
          <w:p>
            <w:pPr>
              <w:pStyle w:val="6"/>
              <w:spacing w:before="0" w:beforeAutospacing="0" w:after="0" w:afterAutospacing="0" w:line="420" w:lineRule="exact"/>
              <w:jc w:val="center"/>
            </w:pPr>
            <w:r>
              <w:rPr>
                <w:rStyle w:val="11"/>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7" w:name="_Toc34311365"/>
      <w:bookmarkStart w:id="18" w:name="_Toc34296082"/>
      <w:r>
        <w:rPr>
          <w:b/>
          <w:szCs w:val="28"/>
        </w:rPr>
        <w:br w:type="page"/>
      </w:r>
    </w:p>
    <w:bookmarkEnd w:id="17"/>
    <w:bookmarkEnd w:id="18"/>
    <w:p>
      <w:pPr>
        <w:pStyle w:val="18"/>
        <w:numPr>
          <w:ilvl w:val="0"/>
          <w:numId w:val="2"/>
        </w:numPr>
        <w:spacing w:line="360" w:lineRule="auto"/>
        <w:jc w:val="center"/>
        <w:rPr>
          <w:rFonts w:hAnsi="宋体" w:cs="宋体"/>
          <w:b/>
          <w:szCs w:val="28"/>
        </w:rPr>
      </w:pPr>
      <w:r>
        <w:rPr>
          <w:rFonts w:hint="eastAsia" w:hAnsi="宋体" w:cs="宋体"/>
          <w:b/>
          <w:szCs w:val="28"/>
        </w:rPr>
        <w:t>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采购编号：</w:t>
      </w:r>
    </w:p>
    <w:p/>
    <w:p>
      <w:pPr>
        <w:ind w:left="6300" w:firstLine="480" w:firstLineChars="200"/>
      </w:pPr>
      <w:r>
        <w:rPr>
          <w:rFonts w:hint="eastAsia"/>
        </w:rPr>
        <w:t>单位：人民币（元）</w:t>
      </w:r>
    </w:p>
    <w:tbl>
      <w:tblPr>
        <w:tblStyle w:val="8"/>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pPr>
            <w:r>
              <w:rPr>
                <w:rFonts w:hint="eastAsia"/>
              </w:rPr>
              <w:t>项 目 名 称</w:t>
            </w:r>
          </w:p>
        </w:tc>
        <w:tc>
          <w:tcPr>
            <w:tcW w:w="4535" w:type="dxa"/>
            <w:vAlign w:val="center"/>
          </w:tcPr>
          <w:p>
            <w:pPr>
              <w:jc w:val="center"/>
            </w:pPr>
            <w:r>
              <w:rPr>
                <w:rFonts w:hint="eastAsia"/>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pPr>
          </w:p>
        </w:tc>
        <w:tc>
          <w:tcPr>
            <w:tcW w:w="4535" w:type="dxa"/>
            <w:vAlign w:val="center"/>
          </w:tcPr>
          <w:p>
            <w:r>
              <w:rPr>
                <w:rFonts w:hint="eastAsia"/>
              </w:rPr>
              <w:t xml:space="preserve"> </w:t>
            </w: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18"/>
        <w:numPr>
          <w:ilvl w:val="0"/>
          <w:numId w:val="2"/>
        </w:numPr>
        <w:spacing w:line="360" w:lineRule="auto"/>
        <w:jc w:val="center"/>
        <w:rPr>
          <w:rFonts w:hAnsi="宋体" w:cs="宋体"/>
          <w:b/>
          <w:szCs w:val="28"/>
        </w:rPr>
      </w:pPr>
      <w:bookmarkStart w:id="19" w:name="_Toc34311366"/>
      <w:r>
        <w:rPr>
          <w:rFonts w:hint="eastAsia" w:hAnsi="宋体" w:cs="宋体"/>
          <w:b/>
          <w:szCs w:val="28"/>
        </w:rPr>
        <w:t>分项报价表</w:t>
      </w:r>
      <w:bookmarkEnd w:id="19"/>
    </w:p>
    <w:p>
      <w:pPr>
        <w:shd w:val="clear" w:color="auto" w:fill="FFFFFF"/>
        <w:spacing w:line="420" w:lineRule="exact"/>
        <w:rPr>
          <w:bCs/>
          <w:u w:val="single"/>
          <w:shd w:val="clear" w:color="auto" w:fill="FFFFFF"/>
          <w:lang w:bidi="ar"/>
        </w:rPr>
      </w:pPr>
    </w:p>
    <w:p/>
    <w:p>
      <w:pPr>
        <w:rPr>
          <w:u w:val="single"/>
        </w:rPr>
      </w:pPr>
      <w:r>
        <w:rPr>
          <w:rFonts w:hint="eastAsia"/>
        </w:rPr>
        <w:t>采购编号：</w:t>
      </w:r>
    </w:p>
    <w:p/>
    <w:tbl>
      <w:tblPr>
        <w:tblStyle w:val="8"/>
        <w:tblW w:w="895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969"/>
        <w:gridCol w:w="2126"/>
        <w:gridCol w:w="993"/>
        <w:gridCol w:w="992"/>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98" w:type="dxa"/>
            <w:shd w:val="clear" w:color="auto" w:fill="auto"/>
            <w:noWrap/>
            <w:vAlign w:val="center"/>
          </w:tcPr>
          <w:p>
            <w:pPr>
              <w:spacing w:line="240" w:lineRule="atLeast"/>
              <w:jc w:val="center"/>
              <w:rPr>
                <w:bCs/>
              </w:rPr>
            </w:pPr>
            <w:r>
              <w:rPr>
                <w:rFonts w:hint="eastAsia"/>
                <w:bCs/>
              </w:rPr>
              <w:t>序号</w:t>
            </w:r>
          </w:p>
        </w:tc>
        <w:tc>
          <w:tcPr>
            <w:tcW w:w="1969" w:type="dxa"/>
            <w:shd w:val="clear" w:color="auto" w:fill="auto"/>
            <w:noWrap/>
            <w:vAlign w:val="center"/>
          </w:tcPr>
          <w:p>
            <w:pPr>
              <w:spacing w:line="240" w:lineRule="atLeast"/>
              <w:jc w:val="center"/>
              <w:rPr>
                <w:bCs/>
              </w:rPr>
            </w:pPr>
            <w:r>
              <w:rPr>
                <w:rFonts w:hint="eastAsia"/>
                <w:bCs/>
              </w:rPr>
              <w:t>项目名称</w:t>
            </w:r>
          </w:p>
        </w:tc>
        <w:tc>
          <w:tcPr>
            <w:tcW w:w="2126" w:type="dxa"/>
            <w:shd w:val="clear" w:color="auto" w:fill="auto"/>
            <w:noWrap/>
            <w:vAlign w:val="center"/>
          </w:tcPr>
          <w:p>
            <w:pPr>
              <w:spacing w:line="240" w:lineRule="atLeast"/>
              <w:jc w:val="center"/>
              <w:rPr>
                <w:bCs/>
              </w:rPr>
            </w:pPr>
            <w:r>
              <w:rPr>
                <w:rFonts w:hint="eastAsia"/>
                <w:bCs/>
              </w:rPr>
              <w:t>服务内容</w:t>
            </w:r>
          </w:p>
        </w:tc>
        <w:tc>
          <w:tcPr>
            <w:tcW w:w="993" w:type="dxa"/>
            <w:shd w:val="clear" w:color="auto" w:fill="auto"/>
            <w:noWrap/>
            <w:vAlign w:val="center"/>
          </w:tcPr>
          <w:p>
            <w:pPr>
              <w:spacing w:line="240" w:lineRule="atLeast"/>
              <w:jc w:val="center"/>
              <w:rPr>
                <w:bCs/>
              </w:rPr>
            </w:pPr>
            <w:r>
              <w:rPr>
                <w:rFonts w:hint="eastAsia"/>
                <w:bCs/>
              </w:rPr>
              <w:t>单位</w:t>
            </w:r>
          </w:p>
        </w:tc>
        <w:tc>
          <w:tcPr>
            <w:tcW w:w="992" w:type="dxa"/>
            <w:shd w:val="clear" w:color="auto" w:fill="auto"/>
            <w:noWrap/>
            <w:vAlign w:val="center"/>
          </w:tcPr>
          <w:p>
            <w:pPr>
              <w:spacing w:line="240" w:lineRule="atLeast"/>
              <w:jc w:val="center"/>
              <w:rPr>
                <w:bCs/>
              </w:rPr>
            </w:pPr>
            <w:r>
              <w:rPr>
                <w:rFonts w:hint="eastAsia"/>
                <w:bCs/>
              </w:rPr>
              <w:t>数量</w:t>
            </w:r>
          </w:p>
        </w:tc>
        <w:tc>
          <w:tcPr>
            <w:tcW w:w="940" w:type="dxa"/>
            <w:vAlign w:val="center"/>
          </w:tcPr>
          <w:p>
            <w:pPr>
              <w:spacing w:line="240" w:lineRule="atLeast"/>
              <w:jc w:val="center"/>
              <w:rPr>
                <w:bCs/>
              </w:rPr>
            </w:pPr>
            <w:r>
              <w:rPr>
                <w:rFonts w:hint="eastAsia"/>
                <w:bCs/>
              </w:rPr>
              <w:t>单价</w:t>
            </w:r>
          </w:p>
        </w:tc>
        <w:tc>
          <w:tcPr>
            <w:tcW w:w="940" w:type="dxa"/>
            <w:vAlign w:val="center"/>
          </w:tcPr>
          <w:p>
            <w:pPr>
              <w:spacing w:line="240" w:lineRule="atLeast"/>
              <w:jc w:val="center"/>
              <w:rPr>
                <w:bCs/>
              </w:rPr>
            </w:pPr>
            <w:r>
              <w:rPr>
                <w:rFonts w:hint="eastAsia"/>
                <w:bC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4</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5</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6</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7</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8</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9</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10</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bl>
    <w:p/>
    <w:p>
      <w:r>
        <w:rPr>
          <w:rFonts w:hint="eastAsia"/>
        </w:rPr>
        <w:t>表式</w:t>
      </w:r>
      <w:r>
        <w:t>仅供参考</w:t>
      </w:r>
    </w:p>
    <w:p>
      <w:pPr>
        <w:shd w:val="clear" w:color="auto" w:fill="FFFFFF"/>
        <w:spacing w:line="420" w:lineRule="exact"/>
        <w:rPr>
          <w:bCs/>
          <w:u w:val="single"/>
          <w:shd w:val="clear" w:color="auto" w:fill="FFFFFF"/>
          <w:lang w:bidi="ar"/>
        </w:rPr>
      </w:pPr>
    </w:p>
    <w:p>
      <w:pPr>
        <w:rPr>
          <w:b/>
          <w:szCs w:val="28"/>
        </w:rPr>
      </w:pPr>
    </w:p>
    <w:p>
      <w:pPr>
        <w:rPr>
          <w:b/>
          <w:szCs w:val="28"/>
        </w:rPr>
      </w:pPr>
    </w:p>
    <w:p>
      <w:pPr>
        <w:rPr>
          <w:b/>
          <w:szCs w:val="28"/>
        </w:rPr>
      </w:pPr>
    </w:p>
    <w:p>
      <w:pPr>
        <w:rPr>
          <w:b/>
          <w:szCs w:val="28"/>
        </w:rPr>
      </w:pPr>
    </w:p>
    <w:p>
      <w:pPr>
        <w:rPr>
          <w:b/>
          <w:szCs w:val="28"/>
        </w:rPr>
      </w:pPr>
    </w:p>
    <w:p>
      <w:pPr>
        <w:rPr>
          <w:b/>
          <w:szCs w:val="28"/>
        </w:rPr>
      </w:pPr>
    </w:p>
    <w:p>
      <w:pPr>
        <w:spacing w:line="360" w:lineRule="auto"/>
      </w:pPr>
      <w:r>
        <w:rPr>
          <w:rFonts w:hint="eastAsia"/>
        </w:rPr>
        <w:t>供应商名称（盖章）：</w:t>
      </w:r>
    </w:p>
    <w:p>
      <w:pPr>
        <w:spacing w:line="360" w:lineRule="auto"/>
      </w:pPr>
    </w:p>
    <w:p>
      <w:pPr>
        <w:rPr>
          <w:b/>
          <w:sz w:val="28"/>
          <w:szCs w:val="28"/>
        </w:rPr>
      </w:pPr>
      <w:r>
        <w:rPr>
          <w:rFonts w:hint="eastAsia"/>
        </w:rPr>
        <w:t>法定代表人或代理人（签字或盖章）：</w:t>
      </w:r>
      <w:r>
        <w:rPr>
          <w:b/>
          <w:szCs w:val="28"/>
        </w:rPr>
        <w:br w:type="page"/>
      </w:r>
    </w:p>
    <w:p>
      <w:pPr>
        <w:pStyle w:val="18"/>
        <w:numPr>
          <w:ilvl w:val="0"/>
          <w:numId w:val="2"/>
        </w:numPr>
        <w:spacing w:line="360" w:lineRule="auto"/>
        <w:jc w:val="center"/>
        <w:rPr>
          <w:rFonts w:hAnsi="宋体" w:cs="宋体"/>
          <w:b/>
          <w:szCs w:val="28"/>
        </w:rPr>
      </w:pPr>
      <w:bookmarkStart w:id="20" w:name="_Toc34296084"/>
      <w:bookmarkStart w:id="21" w:name="_Toc34311367"/>
      <w:r>
        <w:rPr>
          <w:rFonts w:hint="eastAsia" w:hAnsi="宋体" w:cs="宋体"/>
          <w:b/>
          <w:szCs w:val="28"/>
        </w:rPr>
        <w:t>技术规格和商务偏离表</w:t>
      </w:r>
      <w:bookmarkEnd w:id="20"/>
      <w:bookmarkEnd w:id="21"/>
      <w:r>
        <w:rPr>
          <w:rFonts w:hint="eastAsia" w:hAnsi="宋体" w:cs="宋体"/>
          <w:b/>
          <w:szCs w:val="28"/>
        </w:rPr>
        <w:cr/>
      </w:r>
    </w:p>
    <w:tbl>
      <w:tblPr>
        <w:tblStyle w:val="8"/>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bookmarkStart w:id="22" w:name="_Toc34296085"/>
            <w:r>
              <w:rPr>
                <w:rFonts w:hint="eastAsia"/>
              </w:rPr>
              <w:t>项目名称</w:t>
            </w:r>
          </w:p>
        </w:tc>
        <w:tc>
          <w:tcPr>
            <w:tcW w:w="2693" w:type="dxa"/>
            <w:vAlign w:val="center"/>
          </w:tcPr>
          <w:p>
            <w:pPr>
              <w:ind w:firstLine="120" w:firstLineChars="50"/>
              <w:jc w:val="center"/>
            </w:pPr>
            <w:r>
              <w:rPr>
                <w:rFonts w:hint="eastAsia"/>
              </w:rPr>
              <w:t>采购文件要求参数</w:t>
            </w:r>
          </w:p>
        </w:tc>
        <w:tc>
          <w:tcPr>
            <w:tcW w:w="2552" w:type="dxa"/>
            <w:vAlign w:val="center"/>
          </w:tcPr>
          <w:p>
            <w:pPr>
              <w:ind w:firstLine="120" w:firstLineChars="50"/>
              <w:jc w:val="center"/>
            </w:pPr>
            <w:r>
              <w:rPr>
                <w:rFonts w:hint="eastAsia"/>
              </w:rPr>
              <w:t>响应文件参数</w:t>
            </w:r>
          </w:p>
        </w:tc>
        <w:tc>
          <w:tcPr>
            <w:tcW w:w="1276" w:type="dxa"/>
            <w:vAlign w:val="center"/>
          </w:tcPr>
          <w:p>
            <w:pPr>
              <w:ind w:firstLine="120" w:firstLineChars="50"/>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p>
        </w:tc>
        <w:tc>
          <w:tcPr>
            <w:tcW w:w="2693" w:type="dxa"/>
            <w:vAlign w:val="center"/>
          </w:tcPr>
          <w:p>
            <w:pPr>
              <w:ind w:firstLine="120" w:firstLineChars="50"/>
              <w:jc w:val="center"/>
            </w:pPr>
          </w:p>
        </w:tc>
        <w:tc>
          <w:tcPr>
            <w:tcW w:w="2552" w:type="dxa"/>
            <w:vAlign w:val="center"/>
          </w:tcPr>
          <w:p>
            <w:pPr>
              <w:ind w:firstLine="120" w:firstLineChars="50"/>
              <w:jc w:val="center"/>
            </w:pPr>
          </w:p>
        </w:tc>
        <w:tc>
          <w:tcPr>
            <w:tcW w:w="1276" w:type="dxa"/>
            <w:vAlign w:val="center"/>
          </w:tcPr>
          <w:p>
            <w:pPr>
              <w:ind w:firstLine="120" w:firstLineChar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
    <w:p/>
    <w:p>
      <w:r>
        <w:rPr>
          <w:rFonts w:hint="eastAsia"/>
        </w:rPr>
        <w:t>供应商名称（盖章）：</w:t>
      </w:r>
    </w:p>
    <w:p/>
    <w:p/>
    <w:p>
      <w:r>
        <w:rPr>
          <w:rFonts w:hint="eastAsia"/>
        </w:rPr>
        <w:t>法定代表人或代理人（签字或盖章）：</w:t>
      </w:r>
    </w:p>
    <w:p/>
    <w:p/>
    <w:p/>
    <w:p/>
    <w:p/>
    <w:p/>
    <w:p/>
    <w:p/>
    <w:p/>
    <w:p/>
    <w:p/>
    <w:p/>
    <w:p/>
    <w:p/>
    <w:p/>
    <w:p/>
    <w:p/>
    <w:p/>
    <w:p/>
    <w:p>
      <w:pPr>
        <w:adjustRightInd w:val="0"/>
        <w:spacing w:line="360" w:lineRule="auto"/>
        <w:rPr>
          <w:b/>
          <w:sz w:val="28"/>
          <w:szCs w:val="28"/>
          <w:shd w:val="clear" w:color="auto" w:fill="FFFFFF"/>
          <w:lang w:bidi="ar"/>
        </w:rPr>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r>
    </w:p>
    <w:bookmarkEnd w:id="22"/>
    <w:p>
      <w:pPr>
        <w:pStyle w:val="18"/>
        <w:numPr>
          <w:ilvl w:val="0"/>
          <w:numId w:val="2"/>
        </w:numPr>
        <w:spacing w:line="360" w:lineRule="auto"/>
        <w:jc w:val="center"/>
        <w:rPr>
          <w:rFonts w:hAnsi="宋体" w:cs="宋体"/>
          <w:b/>
          <w:szCs w:val="28"/>
        </w:rPr>
      </w:pPr>
      <w:bookmarkStart w:id="23" w:name="_Toc34311368"/>
      <w:r>
        <w:rPr>
          <w:rFonts w:hint="eastAsia"/>
          <w:b/>
          <w:bCs/>
          <w:szCs w:val="32"/>
        </w:rPr>
        <w:t>服务承诺书</w:t>
      </w:r>
      <w:bookmarkEnd w:id="23"/>
    </w:p>
    <w:p/>
    <w:p/>
    <w:p>
      <w:r>
        <w:rPr>
          <w:rFonts w:hint="eastAsia"/>
        </w:rPr>
        <w:t>服务承诺如下：</w:t>
      </w:r>
    </w:p>
    <w:p/>
    <w:p/>
    <w:p/>
    <w:p/>
    <w:p/>
    <w:p/>
    <w:p/>
    <w:p/>
    <w:p/>
    <w:p/>
    <w:p/>
    <w:p/>
    <w:p/>
    <w:p/>
    <w:p/>
    <w:p/>
    <w:p/>
    <w:p/>
    <w:p/>
    <w:p/>
    <w:p/>
    <w:p/>
    <w:p/>
    <w:p>
      <w:r>
        <w:rPr>
          <w:rFonts w:hint="eastAsia"/>
        </w:rPr>
        <w:t xml:space="preserve"> </w:t>
      </w:r>
      <w:r>
        <w:t xml:space="preserve"> </w:t>
      </w:r>
    </w:p>
    <w:p/>
    <w:p/>
    <w:p/>
    <w:p/>
    <w:p>
      <w:r>
        <w:rPr>
          <w:rFonts w:hint="eastAsia"/>
        </w:rP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
        <w:br w:type="page"/>
      </w:r>
    </w:p>
    <w:p>
      <w:pPr>
        <w:ind w:left="3675" w:firstLine="420"/>
      </w:pPr>
    </w:p>
    <w:p>
      <w:pPr>
        <w:pStyle w:val="18"/>
        <w:numPr>
          <w:ilvl w:val="0"/>
          <w:numId w:val="2"/>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2</w:t>
    </w:r>
    <w:r>
      <w:rPr>
        <w:caps/>
        <w:color w:val="4472C4" w:themeColor="accent1"/>
        <w14:textFill>
          <w14:solidFill>
            <w14:schemeClr w14:val="accent1"/>
          </w14:solidFill>
        </w14:textFill>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abstractNum w:abstractNumId="1">
    <w:nsid w:val="07BBA611"/>
    <w:multiLevelType w:val="singleLevel"/>
    <w:tmpl w:val="07BBA611"/>
    <w:lvl w:ilvl="0" w:tentative="0">
      <w:start w:val="5"/>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46096"/>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4B3D"/>
    <w:rsid w:val="00237AEF"/>
    <w:rsid w:val="00241EB5"/>
    <w:rsid w:val="00253C66"/>
    <w:rsid w:val="00272B94"/>
    <w:rsid w:val="0027715F"/>
    <w:rsid w:val="0029197C"/>
    <w:rsid w:val="0029259F"/>
    <w:rsid w:val="00296236"/>
    <w:rsid w:val="002A3CD8"/>
    <w:rsid w:val="002B21DA"/>
    <w:rsid w:val="002B51E8"/>
    <w:rsid w:val="002B5FC0"/>
    <w:rsid w:val="002B61A6"/>
    <w:rsid w:val="002C59FE"/>
    <w:rsid w:val="002D0E63"/>
    <w:rsid w:val="002D1E93"/>
    <w:rsid w:val="002D57BB"/>
    <w:rsid w:val="002E31B5"/>
    <w:rsid w:val="002F293E"/>
    <w:rsid w:val="00333FF3"/>
    <w:rsid w:val="003412FC"/>
    <w:rsid w:val="003416D4"/>
    <w:rsid w:val="0034380C"/>
    <w:rsid w:val="00351533"/>
    <w:rsid w:val="0035299E"/>
    <w:rsid w:val="00377A68"/>
    <w:rsid w:val="003830D1"/>
    <w:rsid w:val="003A5F01"/>
    <w:rsid w:val="003C2D9B"/>
    <w:rsid w:val="003C488F"/>
    <w:rsid w:val="003D5C66"/>
    <w:rsid w:val="003D701D"/>
    <w:rsid w:val="003E16BB"/>
    <w:rsid w:val="003E5767"/>
    <w:rsid w:val="003F54F0"/>
    <w:rsid w:val="004170CF"/>
    <w:rsid w:val="00434B9B"/>
    <w:rsid w:val="00445469"/>
    <w:rsid w:val="00467B17"/>
    <w:rsid w:val="00476905"/>
    <w:rsid w:val="0048571A"/>
    <w:rsid w:val="004878C9"/>
    <w:rsid w:val="004916D9"/>
    <w:rsid w:val="004A3D96"/>
    <w:rsid w:val="004B12E2"/>
    <w:rsid w:val="004B1561"/>
    <w:rsid w:val="004C1CEB"/>
    <w:rsid w:val="004C583A"/>
    <w:rsid w:val="004D311D"/>
    <w:rsid w:val="005105B7"/>
    <w:rsid w:val="00512B22"/>
    <w:rsid w:val="005176F1"/>
    <w:rsid w:val="0053528C"/>
    <w:rsid w:val="0054687D"/>
    <w:rsid w:val="00553D84"/>
    <w:rsid w:val="0058740B"/>
    <w:rsid w:val="005B142F"/>
    <w:rsid w:val="005D004C"/>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3F5C"/>
    <w:rsid w:val="0078536F"/>
    <w:rsid w:val="0079505F"/>
    <w:rsid w:val="007B120F"/>
    <w:rsid w:val="007C38BE"/>
    <w:rsid w:val="007C4ED5"/>
    <w:rsid w:val="007C5661"/>
    <w:rsid w:val="007D5D37"/>
    <w:rsid w:val="007D6CB5"/>
    <w:rsid w:val="007F4531"/>
    <w:rsid w:val="008518AD"/>
    <w:rsid w:val="008606BF"/>
    <w:rsid w:val="00864085"/>
    <w:rsid w:val="008839A9"/>
    <w:rsid w:val="008B0A8C"/>
    <w:rsid w:val="008B1842"/>
    <w:rsid w:val="008C2B44"/>
    <w:rsid w:val="008C3F56"/>
    <w:rsid w:val="008C51C7"/>
    <w:rsid w:val="008D7AAD"/>
    <w:rsid w:val="008F48F8"/>
    <w:rsid w:val="00910583"/>
    <w:rsid w:val="00945DA4"/>
    <w:rsid w:val="009473B7"/>
    <w:rsid w:val="00986F05"/>
    <w:rsid w:val="009C2B33"/>
    <w:rsid w:val="009C4294"/>
    <w:rsid w:val="009C7E06"/>
    <w:rsid w:val="009D1E52"/>
    <w:rsid w:val="009E6056"/>
    <w:rsid w:val="009E618E"/>
    <w:rsid w:val="00A24861"/>
    <w:rsid w:val="00A309FD"/>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C6B34"/>
    <w:rsid w:val="00BE1153"/>
    <w:rsid w:val="00BE13C6"/>
    <w:rsid w:val="00BE420B"/>
    <w:rsid w:val="00BF2C0F"/>
    <w:rsid w:val="00BF67AE"/>
    <w:rsid w:val="00C07715"/>
    <w:rsid w:val="00C13104"/>
    <w:rsid w:val="00C13D66"/>
    <w:rsid w:val="00C22C41"/>
    <w:rsid w:val="00C3486B"/>
    <w:rsid w:val="00C354D0"/>
    <w:rsid w:val="00C403C7"/>
    <w:rsid w:val="00C50DCE"/>
    <w:rsid w:val="00C5496A"/>
    <w:rsid w:val="00C57F5C"/>
    <w:rsid w:val="00C61198"/>
    <w:rsid w:val="00C7135B"/>
    <w:rsid w:val="00CA244D"/>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D55FF"/>
    <w:rsid w:val="00DE237C"/>
    <w:rsid w:val="00DE6AE3"/>
    <w:rsid w:val="00DF5CC4"/>
    <w:rsid w:val="00E02898"/>
    <w:rsid w:val="00E030A3"/>
    <w:rsid w:val="00E06736"/>
    <w:rsid w:val="00E11FBA"/>
    <w:rsid w:val="00E20527"/>
    <w:rsid w:val="00E21D66"/>
    <w:rsid w:val="00E313F3"/>
    <w:rsid w:val="00E349B2"/>
    <w:rsid w:val="00E3532E"/>
    <w:rsid w:val="00E3719C"/>
    <w:rsid w:val="00E63C04"/>
    <w:rsid w:val="00E64529"/>
    <w:rsid w:val="00E95DC5"/>
    <w:rsid w:val="00EA0E80"/>
    <w:rsid w:val="00ED45F2"/>
    <w:rsid w:val="00EE01B8"/>
    <w:rsid w:val="00EE48FB"/>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C185BC4"/>
    <w:rsid w:val="14293CE9"/>
    <w:rsid w:val="1BCC3313"/>
    <w:rsid w:val="23DC06B2"/>
    <w:rsid w:val="29945A82"/>
    <w:rsid w:val="2A2C187B"/>
    <w:rsid w:val="2C7A3750"/>
    <w:rsid w:val="3A612FF4"/>
    <w:rsid w:val="452A78F3"/>
    <w:rsid w:val="4BE6036C"/>
    <w:rsid w:val="715F1D28"/>
    <w:rsid w:val="72036EF9"/>
    <w:rsid w:val="75976C60"/>
    <w:rsid w:val="79581DDC"/>
    <w:rsid w:val="7CB47F1F"/>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0"/>
    <w:unhideWhenUsed/>
    <w:qFormat/>
    <w:uiPriority w:val="0"/>
    <w:rPr>
      <w:rFonts w:hAnsi="Courier New" w:cs="Courier New" w:asciiTheme="minorEastAsia" w:eastAsiaTheme="minorEastAsia"/>
    </w:rPr>
  </w:style>
  <w:style w:type="paragraph" w:styleId="3">
    <w:name w:val="footer"/>
    <w:basedOn w:val="1"/>
    <w:link w:val="16"/>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toc 1"/>
    <w:basedOn w:val="1"/>
    <w:next w:val="1"/>
    <w:unhideWhenUsed/>
    <w:qFormat/>
    <w:uiPriority w:val="39"/>
    <w:pPr>
      <w:widowControl w:val="0"/>
      <w:jc w:val="both"/>
    </w:pPr>
    <w:rPr>
      <w:rFonts w:ascii="Calibri" w:hAnsi="Calibri" w:cs="Times New Roman"/>
      <w:kern w:val="2"/>
      <w:sz w:val="21"/>
    </w:rPr>
  </w:style>
  <w:style w:type="paragraph" w:styleId="6">
    <w:name w:val="Normal (Web)"/>
    <w:basedOn w:val="1"/>
    <w:link w:val="21"/>
    <w:unhideWhenUsed/>
    <w:qFormat/>
    <w:uiPriority w:val="0"/>
    <w:pPr>
      <w:spacing w:before="100" w:beforeAutospacing="1" w:after="100" w:afterAutospacing="1"/>
    </w:pPr>
  </w:style>
  <w:style w:type="paragraph" w:styleId="7">
    <w:name w:val="Body Text First Indent 2"/>
    <w:basedOn w:val="1"/>
    <w:next w:val="1"/>
    <w:unhideWhenUsed/>
    <w:qFormat/>
    <w:uiPriority w:val="99"/>
    <w:pPr>
      <w:ind w:firstLine="420" w:firstLineChars="2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paragraph" w:styleId="14">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10"/>
    <w:link w:val="4"/>
    <w:qFormat/>
    <w:uiPriority w:val="99"/>
    <w:rPr>
      <w:rFonts w:ascii="Calibri" w:hAnsi="Calibri" w:eastAsia="宋体" w:cs="Times New Roman"/>
      <w:sz w:val="18"/>
      <w:szCs w:val="18"/>
    </w:rPr>
  </w:style>
  <w:style w:type="character" w:customStyle="1" w:styleId="16">
    <w:name w:val="页脚 字符"/>
    <w:basedOn w:val="10"/>
    <w:link w:val="3"/>
    <w:qFormat/>
    <w:uiPriority w:val="99"/>
    <w:rPr>
      <w:rFonts w:ascii="Calibri" w:hAnsi="Calibri" w:eastAsia="宋体" w:cs="Times New Roman"/>
      <w:sz w:val="18"/>
      <w:szCs w:val="18"/>
    </w:rPr>
  </w:style>
  <w:style w:type="character" w:customStyle="1" w:styleId="17">
    <w:name w:val="apple-converted-space"/>
    <w:basedOn w:val="10"/>
    <w:qFormat/>
    <w:uiPriority w:val="0"/>
  </w:style>
  <w:style w:type="paragraph" w:customStyle="1" w:styleId="18">
    <w:name w:val="样式3"/>
    <w:basedOn w:val="2"/>
    <w:link w:val="19"/>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qFormat/>
    <w:uiPriority w:val="0"/>
    <w:rPr>
      <w:rFonts w:ascii="宋体" w:hAnsi="Courier New" w:eastAsia="宋体" w:cs="Times New Roman"/>
      <w:sz w:val="28"/>
    </w:rPr>
  </w:style>
  <w:style w:type="character" w:customStyle="1" w:styleId="20">
    <w:name w:val="纯文本 字符"/>
    <w:basedOn w:val="10"/>
    <w:link w:val="2"/>
    <w:semiHidden/>
    <w:qFormat/>
    <w:uiPriority w:val="99"/>
    <w:rPr>
      <w:rFonts w:hAnsi="Courier New" w:cs="Courier New" w:asciiTheme="minorEastAsia"/>
      <w:kern w:val="0"/>
      <w:sz w:val="24"/>
    </w:rPr>
  </w:style>
  <w:style w:type="character" w:customStyle="1" w:styleId="21">
    <w:name w:val="普通(网站) 字符"/>
    <w:link w:val="6"/>
    <w:qFormat/>
    <w:uiPriority w:val="0"/>
    <w:rPr>
      <w:rFonts w:ascii="宋体" w:hAnsi="宋体" w:eastAsia="宋体" w:cs="宋体"/>
      <w:kern w:val="0"/>
      <w:sz w:val="24"/>
    </w:rPr>
  </w:style>
  <w:style w:type="paragraph" w:customStyle="1" w:styleId="22">
    <w:name w:val="msonormal"/>
    <w:basedOn w:val="1"/>
    <w:qFormat/>
    <w:uiPriority w:val="0"/>
    <w:pPr>
      <w:spacing w:before="100" w:beforeAutospacing="1" w:after="100" w:afterAutospacing="1"/>
    </w:pPr>
  </w:style>
  <w:style w:type="paragraph" w:customStyle="1" w:styleId="23">
    <w:name w:val="font5"/>
    <w:basedOn w:val="1"/>
    <w:qFormat/>
    <w:uiPriority w:val="0"/>
    <w:pPr>
      <w:spacing w:before="100" w:beforeAutospacing="1" w:after="100" w:afterAutospacing="1"/>
    </w:pPr>
    <w:rPr>
      <w:sz w:val="18"/>
      <w:szCs w:val="18"/>
    </w:rPr>
  </w:style>
  <w:style w:type="paragraph" w:customStyle="1" w:styleId="24">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4">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5">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9">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4">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5">
    <w:name w:val="xl88"/>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8">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9">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0">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1">
    <w:name w:val="xl94"/>
    <w:basedOn w:val="1"/>
    <w:qFormat/>
    <w:uiPriority w:val="0"/>
    <w:pPr>
      <w:spacing w:before="100" w:beforeAutospacing="1" w:after="100" w:afterAutospacing="1"/>
      <w:jc w:val="center"/>
    </w:pPr>
  </w:style>
  <w:style w:type="paragraph" w:customStyle="1" w:styleId="52">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3">
    <w:name w:val="xl96"/>
    <w:basedOn w:val="1"/>
    <w:qFormat/>
    <w:uiPriority w:val="0"/>
    <w:pPr>
      <w:spacing w:before="100" w:beforeAutospacing="1" w:after="100" w:afterAutospacing="1"/>
    </w:pPr>
    <w:rPr>
      <w:b/>
      <w:bCs/>
      <w:sz w:val="32"/>
      <w:szCs w:val="32"/>
    </w:rPr>
  </w:style>
  <w:style w:type="paragraph" w:customStyle="1" w:styleId="54">
    <w:name w:val="xl97"/>
    <w:basedOn w:val="1"/>
    <w:qFormat/>
    <w:uiPriority w:val="0"/>
    <w:pPr>
      <w:spacing w:before="100" w:beforeAutospacing="1" w:after="100" w:afterAutospacing="1"/>
      <w:jc w:val="center"/>
    </w:pPr>
    <w:rPr>
      <w:b/>
      <w:bCs/>
      <w:sz w:val="32"/>
      <w:szCs w:val="32"/>
    </w:rPr>
  </w:style>
  <w:style w:type="paragraph" w:customStyle="1" w:styleId="55">
    <w:name w:val="xl98"/>
    <w:basedOn w:val="1"/>
    <w:qFormat/>
    <w:uiPriority w:val="0"/>
    <w:pPr>
      <w:spacing w:before="100" w:beforeAutospacing="1" w:after="100" w:afterAutospacing="1"/>
      <w:jc w:val="center"/>
    </w:pPr>
  </w:style>
  <w:style w:type="paragraph" w:customStyle="1" w:styleId="56">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6616</Words>
  <Characters>6791</Characters>
  <Lines>57</Lines>
  <Paragraphs>16</Paragraphs>
  <TotalTime>39</TotalTime>
  <ScaleCrop>false</ScaleCrop>
  <LinksUpToDate>false</LinksUpToDate>
  <CharactersWithSpaces>7499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2024-07-18T08:32:06Z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1CC1B8E117074FBEBF16998C229D92DD_13</vt:lpwstr>
  </property>
</Properties>
</file>